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06"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367"/>
        <w:gridCol w:w="5539"/>
      </w:tblGrid>
      <w:tr w:rsidR="008C72B8" w:rsidRPr="008C72B8" w:rsidTr="00B95A1B">
        <w:trPr>
          <w:trHeight w:val="828"/>
          <w:jc w:val="center"/>
        </w:trPr>
        <w:tc>
          <w:tcPr>
            <w:tcW w:w="3367" w:type="dxa"/>
            <w:tcBorders>
              <w:top w:val="nil"/>
              <w:left w:val="nil"/>
              <w:bottom w:val="nil"/>
              <w:right w:val="nil"/>
              <w:tl2br w:val="nil"/>
              <w:tr2bl w:val="nil"/>
            </w:tcBorders>
            <w:shd w:val="clear" w:color="auto" w:fill="auto"/>
            <w:tcMar>
              <w:top w:w="0" w:type="dxa"/>
              <w:left w:w="108" w:type="dxa"/>
              <w:bottom w:w="0" w:type="dxa"/>
              <w:right w:w="108" w:type="dxa"/>
            </w:tcMar>
          </w:tcPr>
          <w:p w:rsidR="00045A80" w:rsidRPr="008C72B8" w:rsidRDefault="00B04049" w:rsidP="00B04049">
            <w:bookmarkStart w:id="0" w:name="loai_1"/>
            <w:bookmarkStart w:id="1" w:name="_GoBack"/>
            <w:bookmarkEnd w:id="1"/>
            <w:r>
              <w:rPr>
                <w:noProof/>
              </w:rPr>
              <mc:AlternateContent>
                <mc:Choice Requires="wps">
                  <w:drawing>
                    <wp:anchor distT="4294967295" distB="4294967295" distL="114300" distR="114300" simplePos="0" relativeHeight="251656704" behindDoc="0" locked="0" layoutInCell="1" allowOverlap="1">
                      <wp:simplePos x="0" y="0"/>
                      <wp:positionH relativeFrom="margin">
                        <wp:align>center</wp:align>
                      </wp:positionH>
                      <wp:positionV relativeFrom="paragraph">
                        <wp:posOffset>341629</wp:posOffset>
                      </wp:positionV>
                      <wp:extent cx="756285" cy="0"/>
                      <wp:effectExtent l="0" t="0" r="24765" b="19050"/>
                      <wp:wrapNone/>
                      <wp:docPr id="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0;margin-top:26.9pt;width:59.55pt;height:0;z-index:25165670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">
                      <w10:wrap anchorx="margin"/>
                    </v:shape>
                  </w:pict>
                </mc:Fallback>
              </mc:AlternateContent>
            </w:r>
            <w:r w:rsidR="00045A80" w:rsidRPr="008C72B8">
              <w:t xml:space="preserve"> CHÍNH PHỦ</w:t>
            </w:r>
            <w:r w:rsidR="00045A80" w:rsidRPr="008C72B8">
              <w:rPr>
                <w:lang w:val="vi-VN"/>
              </w:rPr>
              <w:br/>
            </w:r>
          </w:p>
        </w:tc>
        <w:tc>
          <w:tcPr>
            <w:tcW w:w="5539" w:type="dxa"/>
            <w:tcBorders>
              <w:top w:val="nil"/>
              <w:left w:val="nil"/>
              <w:bottom w:val="nil"/>
              <w:right w:val="nil"/>
              <w:tl2br w:val="nil"/>
              <w:tr2bl w:val="nil"/>
            </w:tcBorders>
            <w:shd w:val="clear" w:color="auto" w:fill="auto"/>
            <w:tcMar>
              <w:top w:w="0" w:type="dxa"/>
              <w:left w:w="108" w:type="dxa"/>
              <w:bottom w:w="0" w:type="dxa"/>
              <w:right w:w="108" w:type="dxa"/>
            </w:tcMar>
          </w:tcPr>
          <w:p w:rsidR="00045A80" w:rsidRPr="008C72B8" w:rsidRDefault="00B04049" w:rsidP="00B95A1B">
            <w:pPr>
              <w:spacing w:before="120"/>
              <w:ind w:firstLine="0"/>
              <w:jc w:val="center"/>
              <w:rPr>
                <w:rFonts w:eastAsia="Times New Roman" w:cs="Times New Roman"/>
                <w:color w:val="auto"/>
                <w:sz w:val="24"/>
                <w:szCs w:val="24"/>
              </w:rPr>
            </w:pPr>
            <w:r>
              <w:rPr>
                <w:rFonts w:eastAsia="Times New Roman" w:cs="Times New Roman"/>
                <w:b/>
                <w:bCs/>
                <w:noProof/>
                <w:color w:val="auto"/>
                <w:sz w:val="24"/>
                <w:szCs w:val="24"/>
              </w:rPr>
              <mc:AlternateContent>
                <mc:Choice Requires="wps">
                  <w:drawing>
                    <wp:anchor distT="4294967295" distB="4294967295" distL="114300" distR="114300" simplePos="0" relativeHeight="251657728" behindDoc="0" locked="0" layoutInCell="1" allowOverlap="1">
                      <wp:simplePos x="0" y="0"/>
                      <wp:positionH relativeFrom="margin">
                        <wp:align>center</wp:align>
                      </wp:positionH>
                      <wp:positionV relativeFrom="paragraph">
                        <wp:posOffset>516889</wp:posOffset>
                      </wp:positionV>
                      <wp:extent cx="2016125" cy="0"/>
                      <wp:effectExtent l="0" t="0" r="222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6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0;margin-top:40.7pt;width:158.75pt;height:0;flip:y;z-index:25165772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">
                      <w10:wrap anchorx="margin"/>
                    </v:shape>
                  </w:pict>
                </mc:Fallback>
              </mc:AlternateContent>
            </w:r>
            <w:r w:rsidR="00045A80" w:rsidRPr="008C72B8">
              <w:rPr>
                <w:rFonts w:eastAsia="Times New Roman" w:cs="Times New Roman"/>
                <w:b/>
                <w:bCs/>
                <w:color w:val="auto"/>
                <w:sz w:val="24"/>
                <w:szCs w:val="24"/>
                <w:lang w:val="vi-VN"/>
              </w:rPr>
              <w:t>CỘNG HÒA XÃ HỘI CHỦ NGHĨA VIỆT NAM</w:t>
            </w:r>
            <w:r w:rsidR="00045A80" w:rsidRPr="008C72B8">
              <w:rPr>
                <w:rFonts w:eastAsia="Times New Roman" w:cs="Times New Roman"/>
                <w:b/>
                <w:bCs/>
                <w:color w:val="auto"/>
                <w:sz w:val="24"/>
                <w:szCs w:val="24"/>
                <w:lang w:val="vi-VN"/>
              </w:rPr>
              <w:br/>
            </w:r>
            <w:r w:rsidR="00045A80" w:rsidRPr="008C72B8">
              <w:rPr>
                <w:rFonts w:eastAsia="Times New Roman" w:cs="Times New Roman"/>
                <w:b/>
                <w:bCs/>
                <w:color w:val="auto"/>
                <w:lang w:val="vi-VN"/>
              </w:rPr>
              <w:t>Độc lập - Tự do - Hạnh phúc</w:t>
            </w:r>
            <w:r w:rsidR="00045A80" w:rsidRPr="008C72B8">
              <w:rPr>
                <w:rFonts w:eastAsia="Times New Roman" w:cs="Times New Roman"/>
                <w:b/>
                <w:bCs/>
                <w:color w:val="auto"/>
                <w:sz w:val="24"/>
                <w:szCs w:val="24"/>
                <w:lang w:val="vi-VN"/>
              </w:rPr>
              <w:br/>
            </w:r>
          </w:p>
        </w:tc>
      </w:tr>
      <w:tr w:rsidR="008C72B8" w:rsidRPr="008C72B8" w:rsidTr="00B95A1B">
        <w:tblPrEx>
          <w:tblBorders>
            <w:top w:val="none" w:sz="0" w:space="0" w:color="auto"/>
            <w:bottom w:val="none" w:sz="0" w:space="0" w:color="auto"/>
            <w:insideH w:val="none" w:sz="0" w:space="0" w:color="auto"/>
            <w:insideV w:val="none" w:sz="0" w:space="0" w:color="auto"/>
          </w:tblBorders>
        </w:tblPrEx>
        <w:trPr>
          <w:trHeight w:val="337"/>
          <w:jc w:val="center"/>
        </w:trPr>
        <w:tc>
          <w:tcPr>
            <w:tcW w:w="3367" w:type="dxa"/>
            <w:tcBorders>
              <w:top w:val="nil"/>
              <w:left w:val="nil"/>
              <w:bottom w:val="nil"/>
              <w:right w:val="nil"/>
              <w:tl2br w:val="nil"/>
              <w:tr2bl w:val="nil"/>
            </w:tcBorders>
            <w:shd w:val="clear" w:color="auto" w:fill="auto"/>
            <w:tcMar>
              <w:top w:w="0" w:type="dxa"/>
              <w:left w:w="108" w:type="dxa"/>
              <w:bottom w:w="0" w:type="dxa"/>
              <w:right w:w="108" w:type="dxa"/>
            </w:tcMar>
          </w:tcPr>
          <w:p w:rsidR="00045A80" w:rsidRPr="008C72B8" w:rsidRDefault="00045A80" w:rsidP="00B95A1B">
            <w:pPr>
              <w:spacing w:before="120"/>
              <w:ind w:firstLine="0"/>
              <w:jc w:val="center"/>
              <w:rPr>
                <w:rFonts w:eastAsia="Times New Roman" w:cs="Times New Roman"/>
                <w:color w:val="auto"/>
                <w:sz w:val="26"/>
                <w:szCs w:val="26"/>
              </w:rPr>
            </w:pPr>
            <w:r w:rsidRPr="008C72B8">
              <w:rPr>
                <w:rFonts w:eastAsia="Times New Roman" w:cs="Times New Roman"/>
                <w:color w:val="auto"/>
                <w:sz w:val="26"/>
                <w:szCs w:val="26"/>
                <w:lang w:val="vi-VN"/>
              </w:rPr>
              <w:t>Số: /2020/NĐ-CP</w:t>
            </w:r>
          </w:p>
        </w:tc>
        <w:tc>
          <w:tcPr>
            <w:tcW w:w="5539" w:type="dxa"/>
            <w:tcBorders>
              <w:top w:val="nil"/>
              <w:left w:val="nil"/>
              <w:bottom w:val="nil"/>
              <w:right w:val="nil"/>
              <w:tl2br w:val="nil"/>
              <w:tr2bl w:val="nil"/>
            </w:tcBorders>
            <w:shd w:val="clear" w:color="auto" w:fill="auto"/>
            <w:tcMar>
              <w:top w:w="0" w:type="dxa"/>
              <w:left w:w="108" w:type="dxa"/>
              <w:bottom w:w="0" w:type="dxa"/>
              <w:right w:w="108" w:type="dxa"/>
            </w:tcMar>
          </w:tcPr>
          <w:p w:rsidR="00045A80" w:rsidRPr="008C72B8" w:rsidRDefault="00045A80" w:rsidP="00B95A1B">
            <w:pPr>
              <w:spacing w:before="120"/>
              <w:ind w:firstLine="0"/>
              <w:jc w:val="center"/>
              <w:rPr>
                <w:rFonts w:eastAsia="Times New Roman" w:cs="Times New Roman"/>
                <w:color w:val="auto"/>
                <w:sz w:val="26"/>
                <w:szCs w:val="26"/>
              </w:rPr>
            </w:pPr>
            <w:r w:rsidRPr="008C72B8">
              <w:rPr>
                <w:rFonts w:eastAsia="Times New Roman" w:cs="Times New Roman"/>
                <w:i/>
                <w:iCs/>
                <w:color w:val="auto"/>
                <w:sz w:val="26"/>
                <w:szCs w:val="26"/>
                <w:lang w:val="vi-VN"/>
              </w:rPr>
              <w:t xml:space="preserve">Hà Nội, ngày  tháng  năm </w:t>
            </w:r>
            <w:r w:rsidRPr="008C72B8">
              <w:rPr>
                <w:rFonts w:eastAsia="Times New Roman" w:cs="Times New Roman"/>
                <w:i/>
                <w:iCs/>
                <w:color w:val="auto"/>
                <w:sz w:val="26"/>
                <w:szCs w:val="26"/>
              </w:rPr>
              <w:t>2020</w:t>
            </w:r>
          </w:p>
        </w:tc>
      </w:tr>
    </w:tbl>
    <w:p w:rsidR="00045A80" w:rsidRPr="008C72B8" w:rsidRDefault="00B04049" w:rsidP="00045A80">
      <w:pPr>
        <w:spacing w:after="240"/>
        <w:ind w:firstLine="0"/>
        <w:jc w:val="center"/>
        <w:rPr>
          <w:rFonts w:cs="Times New Roman"/>
          <w:b/>
          <w:bCs/>
          <w:color w:val="auto"/>
        </w:rPr>
      </w:pPr>
      <w:r>
        <w:rPr>
          <w:rFonts w:cs="Times New Roman"/>
          <w:b/>
          <w:bCs/>
          <w:noProof/>
          <w:color w:val="auto"/>
        </w:rPr>
        <mc:AlternateContent>
          <mc:Choice Requires="wps">
            <w:drawing>
              <wp:anchor distT="0" distB="0" distL="114300" distR="114300" simplePos="0" relativeHeight="251658752" behindDoc="0" locked="0" layoutInCell="1" allowOverlap="1">
                <wp:simplePos x="0" y="0"/>
                <wp:positionH relativeFrom="column">
                  <wp:posOffset>-251460</wp:posOffset>
                </wp:positionH>
                <wp:positionV relativeFrom="paragraph">
                  <wp:posOffset>231140</wp:posOffset>
                </wp:positionV>
                <wp:extent cx="904875" cy="304800"/>
                <wp:effectExtent l="0" t="0" r="28575" b="1905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875" cy="304800"/>
                        </a:xfrm>
                        <a:prstGeom prst="rect">
                          <a:avLst/>
                        </a:prstGeom>
                      </wps:spPr>
                      <wps:style>
                        <a:lnRef idx="2">
                          <a:schemeClr val="dk1"/>
                        </a:lnRef>
                        <a:fillRef idx="1">
                          <a:schemeClr val="lt1"/>
                        </a:fillRef>
                        <a:effectRef idx="0">
                          <a:schemeClr val="dk1"/>
                        </a:effectRef>
                        <a:fontRef idx="minor">
                          <a:schemeClr val="dk1"/>
                        </a:fontRef>
                      </wps:style>
                      <wps:txbx>
                        <w:txbxContent>
                          <w:p w:rsidR="00045A80" w:rsidRPr="00703ED7" w:rsidRDefault="00045A80" w:rsidP="00045A80">
                            <w:pPr>
                              <w:ind w:firstLine="0"/>
                              <w:jc w:val="center"/>
                              <w:rPr>
                                <w:b/>
                              </w:rPr>
                            </w:pPr>
                            <w:r w:rsidRPr="00703ED7">
                              <w:rPr>
                                <w:b/>
                              </w:rPr>
                              <w:t>Dự thả</w:t>
                            </w:r>
                            <w:r>
                              <w:rPr>
                                <w:b/>
                              </w:rPr>
                              <w:t xml:space="preserve">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19.8pt;margin-top:18.2pt;width:71.2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" fillcolor="white [3201]" strokecolor="black [3200]" strokeweight="2pt">
                <v:path arrowok="t"/>
                <v:textbox>
                  <w:txbxContent>
                    <w:p w:rsidR="00045A80" w:rsidRPr="00703ED7" w:rsidRDefault="00045A80" w:rsidP="00045A80">
                      <w:pPr>
                        <w:ind w:firstLine="0"/>
                        <w:jc w:val="center"/>
                        <w:rPr>
                          <w:b/>
                        </w:rPr>
                      </w:pPr>
                      <w:r w:rsidRPr="00703ED7">
                        <w:rPr>
                          <w:b/>
                        </w:rPr>
                        <w:t>Dự thả</w:t>
                      </w:r>
                      <w:r>
                        <w:rPr>
                          <w:b/>
                        </w:rPr>
                        <w:t xml:space="preserve">o </w:t>
                      </w:r>
                    </w:p>
                  </w:txbxContent>
                </v:textbox>
              </v:rect>
            </w:pict>
          </mc:Fallback>
        </mc:AlternateContent>
      </w:r>
    </w:p>
    <w:p w:rsidR="00045A80" w:rsidRPr="008C72B8" w:rsidRDefault="00045A80" w:rsidP="00045A80">
      <w:pPr>
        <w:ind w:firstLine="0"/>
        <w:jc w:val="center"/>
        <w:rPr>
          <w:rFonts w:cs="Times New Roman"/>
          <w:b/>
          <w:bCs/>
          <w:color w:val="auto"/>
        </w:rPr>
      </w:pPr>
      <w:r w:rsidRPr="008C72B8">
        <w:rPr>
          <w:rFonts w:cs="Times New Roman"/>
          <w:b/>
          <w:bCs/>
          <w:color w:val="auto"/>
          <w:lang w:val="vi-VN"/>
        </w:rPr>
        <w:t>NGHỊ ĐỊNH</w:t>
      </w:r>
      <w:bookmarkEnd w:id="0"/>
    </w:p>
    <w:p w:rsidR="00045A80" w:rsidRPr="008C72B8" w:rsidRDefault="00045A80" w:rsidP="00045A80">
      <w:pPr>
        <w:ind w:firstLine="0"/>
        <w:jc w:val="center"/>
        <w:rPr>
          <w:rFonts w:cs="Times New Roman"/>
          <w:b/>
          <w:color w:val="auto"/>
        </w:rPr>
      </w:pPr>
      <w:r w:rsidRPr="008C72B8">
        <w:rPr>
          <w:rFonts w:cs="Times New Roman"/>
          <w:b/>
          <w:color w:val="auto"/>
        </w:rPr>
        <w:t>Quy định về danh mục nơi sử dụng lao động</w:t>
      </w:r>
      <w:r w:rsidRPr="008C72B8">
        <w:rPr>
          <w:rFonts w:cs="Times New Roman"/>
          <w:b/>
          <w:color w:val="auto"/>
        </w:rPr>
        <w:br/>
        <w:t>không được đình công và giải quyết tranh chấp lao động</w:t>
      </w:r>
      <w:r w:rsidRPr="008C72B8">
        <w:rPr>
          <w:rFonts w:cs="Times New Roman"/>
          <w:b/>
          <w:color w:val="auto"/>
        </w:rPr>
        <w:br/>
        <w:t>tại nơi sử dụng lao động không được đình công</w:t>
      </w:r>
    </w:p>
    <w:p w:rsidR="00045A80" w:rsidRPr="008C72B8" w:rsidRDefault="00045A80" w:rsidP="00045A80">
      <w:pPr>
        <w:ind w:firstLine="0"/>
        <w:jc w:val="center"/>
        <w:rPr>
          <w:rFonts w:cs="Times New Roman"/>
          <w:b/>
          <w:color w:val="auto"/>
        </w:rPr>
      </w:pPr>
      <w:r w:rsidRPr="008C72B8">
        <w:rPr>
          <w:rFonts w:eastAsia="Times New Roman" w:cs="Times New Roman"/>
          <w:color w:val="auto"/>
          <w:sz w:val="16"/>
          <w:szCs w:val="26"/>
          <w:vertAlign w:val="superscript"/>
        </w:rPr>
        <w:t>_______________________________</w:t>
      </w:r>
    </w:p>
    <w:p w:rsidR="00045A80" w:rsidRPr="008C72B8" w:rsidRDefault="00045A80" w:rsidP="00045A80">
      <w:pPr>
        <w:ind w:firstLine="0"/>
        <w:jc w:val="center"/>
        <w:rPr>
          <w:rFonts w:cs="Times New Roman"/>
          <w:b/>
          <w:color w:val="auto"/>
        </w:rPr>
      </w:pPr>
    </w:p>
    <w:p w:rsidR="00045A80" w:rsidRPr="008C72B8" w:rsidRDefault="00045A80" w:rsidP="00045A80">
      <w:pPr>
        <w:spacing w:after="120" w:line="264" w:lineRule="auto"/>
        <w:ind w:firstLine="567"/>
        <w:rPr>
          <w:rFonts w:cs="Times New Roman"/>
          <w:color w:val="auto"/>
        </w:rPr>
      </w:pPr>
      <w:r w:rsidRPr="008C72B8">
        <w:rPr>
          <w:rFonts w:cs="Times New Roman"/>
          <w:i/>
          <w:iCs/>
          <w:color w:val="auto"/>
          <w:lang w:val="vi-VN"/>
        </w:rPr>
        <w:t>Căn cứ Luật tổ chức Chính phủ ngày 19 tháng 6 năm 2015;</w:t>
      </w:r>
    </w:p>
    <w:p w:rsidR="00045A80" w:rsidRPr="008C72B8" w:rsidRDefault="00045A80" w:rsidP="00045A80">
      <w:pPr>
        <w:spacing w:after="120" w:line="264" w:lineRule="auto"/>
        <w:ind w:firstLine="567"/>
        <w:rPr>
          <w:rFonts w:cs="Times New Roman"/>
          <w:i/>
          <w:iCs/>
          <w:color w:val="auto"/>
          <w:lang w:val="vi-VN"/>
        </w:rPr>
      </w:pPr>
      <w:r w:rsidRPr="008C72B8">
        <w:rPr>
          <w:rFonts w:cs="Times New Roman"/>
          <w:i/>
          <w:iCs/>
          <w:color w:val="auto"/>
          <w:lang w:val="vi-VN"/>
        </w:rPr>
        <w:t xml:space="preserve">Căn cứ Bộ luật </w:t>
      </w:r>
      <w:r w:rsidRPr="008C72B8">
        <w:rPr>
          <w:rFonts w:cs="Times New Roman"/>
          <w:i/>
          <w:iCs/>
          <w:color w:val="auto"/>
        </w:rPr>
        <w:t>L</w:t>
      </w:r>
      <w:r w:rsidRPr="008C72B8">
        <w:rPr>
          <w:rFonts w:cs="Times New Roman"/>
          <w:i/>
          <w:iCs/>
          <w:color w:val="auto"/>
          <w:lang w:val="vi-VN"/>
        </w:rPr>
        <w:t>ao động ngày 20 tháng 11 năm 2019;</w:t>
      </w:r>
    </w:p>
    <w:p w:rsidR="00045A80" w:rsidRPr="008C72B8" w:rsidRDefault="00045A80" w:rsidP="00045A80">
      <w:pPr>
        <w:spacing w:after="120" w:line="264" w:lineRule="auto"/>
        <w:ind w:firstLine="567"/>
        <w:rPr>
          <w:rFonts w:cs="Times New Roman"/>
          <w:color w:val="auto"/>
        </w:rPr>
      </w:pPr>
      <w:r w:rsidRPr="008C72B8">
        <w:rPr>
          <w:rFonts w:cs="Times New Roman"/>
          <w:i/>
          <w:iCs/>
          <w:color w:val="auto"/>
          <w:lang w:val="vi-VN"/>
        </w:rPr>
        <w:t>Theo đề nghị của Bộ trưởng Bộ Lao động - Thương b</w:t>
      </w:r>
      <w:r w:rsidRPr="008C72B8">
        <w:rPr>
          <w:rFonts w:cs="Times New Roman"/>
          <w:i/>
          <w:iCs/>
          <w:color w:val="auto"/>
        </w:rPr>
        <w:t>i</w:t>
      </w:r>
      <w:r w:rsidRPr="008C72B8">
        <w:rPr>
          <w:rFonts w:cs="Times New Roman"/>
          <w:i/>
          <w:iCs/>
          <w:color w:val="auto"/>
          <w:lang w:val="vi-VN"/>
        </w:rPr>
        <w:t>nh và Xã hội;</w:t>
      </w:r>
    </w:p>
    <w:p w:rsidR="00045A80" w:rsidRPr="008C72B8" w:rsidRDefault="00045A80" w:rsidP="00045A80">
      <w:pPr>
        <w:spacing w:after="120" w:line="264" w:lineRule="auto"/>
        <w:ind w:firstLine="567"/>
        <w:rPr>
          <w:rFonts w:cs="Times New Roman"/>
          <w:i/>
          <w:iCs/>
          <w:color w:val="auto"/>
        </w:rPr>
      </w:pPr>
      <w:r w:rsidRPr="008C72B8">
        <w:rPr>
          <w:rFonts w:cs="Times New Roman"/>
          <w:i/>
          <w:iCs/>
          <w:color w:val="auto"/>
          <w:lang w:val="vi-VN"/>
        </w:rPr>
        <w:t>Chính phủ ban hành Nghị định quy định về danh mục nơi sử dụng lao động</w:t>
      </w:r>
      <w:r w:rsidRPr="008C72B8">
        <w:rPr>
          <w:rFonts w:cs="Times New Roman"/>
          <w:i/>
          <w:iCs/>
          <w:color w:val="auto"/>
        </w:rPr>
        <w:t xml:space="preserve"> không được đình công và giải quyết tranh chấp lao động tại nơi sử dụng lao động không được đình công.</w:t>
      </w:r>
    </w:p>
    <w:p w:rsidR="00045A80" w:rsidRPr="008C72B8" w:rsidRDefault="00045A80" w:rsidP="00045A80">
      <w:pPr>
        <w:spacing w:line="264" w:lineRule="auto"/>
        <w:rPr>
          <w:rFonts w:cs="Times New Roman"/>
          <w:b/>
          <w:bCs/>
          <w:color w:val="auto"/>
        </w:rPr>
      </w:pPr>
      <w:bookmarkStart w:id="2" w:name="dieu_1"/>
    </w:p>
    <w:bookmarkEnd w:id="2"/>
    <w:p w:rsidR="00045A80" w:rsidRPr="000B7432" w:rsidRDefault="00045A80" w:rsidP="00045A80">
      <w:pPr>
        <w:spacing w:after="120"/>
        <w:rPr>
          <w:rFonts w:cs="Times New Roman"/>
          <w:b/>
          <w:color w:val="auto"/>
        </w:rPr>
      </w:pPr>
      <w:r w:rsidRPr="000B7432">
        <w:rPr>
          <w:rFonts w:cs="Times New Roman"/>
          <w:b/>
          <w:color w:val="auto"/>
        </w:rPr>
        <w:t>Điều 1. Phạm vi điều chỉnh</w:t>
      </w:r>
    </w:p>
    <w:p w:rsidR="00045A80" w:rsidRPr="000B7432" w:rsidRDefault="00045A80" w:rsidP="00045A80">
      <w:pPr>
        <w:spacing w:after="120"/>
        <w:rPr>
          <w:rFonts w:cs="Times New Roman"/>
          <w:color w:val="auto"/>
        </w:rPr>
      </w:pPr>
      <w:r w:rsidRPr="000B7432">
        <w:rPr>
          <w:rFonts w:cs="Times New Roman"/>
          <w:color w:val="auto"/>
        </w:rPr>
        <w:t>Nghị định này quy định về danh mục nơi sử dụng lao động không được đình công và giải quyết tranh chấp lao động tại nơi sử dụng lao động không được đình công theo quy định tại Điều 209 của Bộ luật Lao động.</w:t>
      </w:r>
    </w:p>
    <w:p w:rsidR="00045A80" w:rsidRPr="000B7432" w:rsidRDefault="00045A80" w:rsidP="00045A80">
      <w:pPr>
        <w:spacing w:after="120"/>
        <w:ind w:firstLine="567"/>
        <w:rPr>
          <w:rFonts w:cs="Times New Roman"/>
          <w:b/>
          <w:color w:val="auto"/>
        </w:rPr>
      </w:pPr>
      <w:r w:rsidRPr="000B7432">
        <w:rPr>
          <w:rFonts w:cs="Times New Roman"/>
          <w:b/>
          <w:color w:val="auto"/>
        </w:rPr>
        <w:t xml:space="preserve"> Điều 2. Đối tượng áp dụng</w:t>
      </w:r>
    </w:p>
    <w:p w:rsidR="00045A80" w:rsidRPr="000B7432" w:rsidRDefault="00045A80" w:rsidP="00045A80">
      <w:pPr>
        <w:spacing w:after="120"/>
        <w:ind w:firstLine="567"/>
        <w:rPr>
          <w:rFonts w:cs="Times New Roman"/>
          <w:color w:val="auto"/>
        </w:rPr>
      </w:pPr>
      <w:r w:rsidRPr="000B7432">
        <w:rPr>
          <w:rFonts w:cs="Times New Roman"/>
          <w:color w:val="auto"/>
        </w:rPr>
        <w:t xml:space="preserve">1. Người lao động, người sử dụng lao động, tổ chức đại diện người lao động tại cơ sở quy định tại </w:t>
      </w:r>
      <w:r w:rsidR="009B1252">
        <w:rPr>
          <w:rFonts w:cs="Times New Roman"/>
          <w:color w:val="auto"/>
        </w:rPr>
        <w:t xml:space="preserve">các </w:t>
      </w:r>
      <w:r w:rsidR="0039751C">
        <w:rPr>
          <w:rFonts w:cs="Times New Roman"/>
          <w:color w:val="auto"/>
        </w:rPr>
        <w:t>k</w:t>
      </w:r>
      <w:r w:rsidRPr="000B7432">
        <w:rPr>
          <w:rFonts w:cs="Times New Roman"/>
          <w:color w:val="auto"/>
        </w:rPr>
        <w:t xml:space="preserve">hoản 1, 2 và 3 Điều 3 của Bộ luật Lao động </w:t>
      </w:r>
      <w:r w:rsidR="002E5B1D">
        <w:rPr>
          <w:rFonts w:cs="Times New Roman"/>
          <w:color w:val="auto"/>
        </w:rPr>
        <w:t>ở</w:t>
      </w:r>
      <w:r w:rsidRPr="000B7432">
        <w:rPr>
          <w:rFonts w:cs="Times New Roman"/>
          <w:color w:val="auto"/>
        </w:rPr>
        <w:t xml:space="preserve"> </w:t>
      </w:r>
      <w:r w:rsidR="0039751C">
        <w:rPr>
          <w:rFonts w:cs="Times New Roman"/>
          <w:color w:val="auto"/>
        </w:rPr>
        <w:t xml:space="preserve">nơi sử dụng lao động không được đình công là những </w:t>
      </w:r>
      <w:r w:rsidRPr="000B7432">
        <w:rPr>
          <w:rFonts w:cs="Times New Roman"/>
          <w:color w:val="auto"/>
        </w:rPr>
        <w:t>doanh nghiệp, cơ quan, tổ chức hoặc bộ phận của doanh nghiệp,</w:t>
      </w:r>
      <w:r w:rsidR="0039751C">
        <w:rPr>
          <w:rFonts w:cs="Times New Roman"/>
          <w:color w:val="auto"/>
        </w:rPr>
        <w:t xml:space="preserve"> cơ quan,</w:t>
      </w:r>
      <w:r w:rsidRPr="000B7432">
        <w:rPr>
          <w:rFonts w:cs="Times New Roman"/>
          <w:color w:val="auto"/>
        </w:rPr>
        <w:t xml:space="preserve"> tổ chức quy định tại Điều 3 Nghị đị</w:t>
      </w:r>
      <w:r w:rsidR="0039751C">
        <w:rPr>
          <w:rFonts w:cs="Times New Roman"/>
          <w:color w:val="auto"/>
        </w:rPr>
        <w:t>nh này.</w:t>
      </w:r>
    </w:p>
    <w:p w:rsidR="00045A80" w:rsidRPr="000B7432" w:rsidRDefault="00045A80" w:rsidP="00045A80">
      <w:pPr>
        <w:spacing w:after="120"/>
        <w:ind w:firstLine="567"/>
        <w:rPr>
          <w:rFonts w:cs="Times New Roman"/>
          <w:color w:val="auto"/>
        </w:rPr>
      </w:pPr>
      <w:r w:rsidRPr="000B7432">
        <w:rPr>
          <w:rFonts w:cs="Times New Roman"/>
          <w:color w:val="auto"/>
        </w:rPr>
        <w:t xml:space="preserve">2. Cơ quan, tổ chức, cá nhân có liên quan đến </w:t>
      </w:r>
      <w:r w:rsidR="0039751C">
        <w:rPr>
          <w:rFonts w:cs="Times New Roman"/>
          <w:color w:val="auto"/>
        </w:rPr>
        <w:t xml:space="preserve">thực hiện </w:t>
      </w:r>
      <w:r w:rsidRPr="000B7432">
        <w:rPr>
          <w:rFonts w:cs="Times New Roman"/>
          <w:color w:val="auto"/>
        </w:rPr>
        <w:t>danh mục nơi sử dụng lao động không được đình công và việc giải quyết tranh chấp lao động tại nơi sử dụng lao động không được đình công quy định tại Nghị định này.</w:t>
      </w:r>
    </w:p>
    <w:p w:rsidR="00045A80" w:rsidRPr="000B7432" w:rsidRDefault="00045A80" w:rsidP="00045A80">
      <w:pPr>
        <w:spacing w:after="120"/>
        <w:ind w:firstLine="567"/>
        <w:rPr>
          <w:rFonts w:cs="Times New Roman"/>
          <w:b/>
          <w:color w:val="auto"/>
        </w:rPr>
      </w:pPr>
      <w:r w:rsidRPr="000B7432">
        <w:rPr>
          <w:rFonts w:cs="Times New Roman"/>
          <w:b/>
          <w:color w:val="auto"/>
        </w:rPr>
        <w:t xml:space="preserve">Điều 3. Danh mục nơi sử dụng lao động không được đình công </w:t>
      </w:r>
    </w:p>
    <w:p w:rsidR="00045A80" w:rsidRPr="000B7432" w:rsidRDefault="00045A80" w:rsidP="00765F83">
      <w:pPr>
        <w:spacing w:after="120"/>
        <w:ind w:firstLine="567"/>
        <w:rPr>
          <w:rFonts w:cs="Times New Roman"/>
          <w:color w:val="auto"/>
        </w:rPr>
      </w:pPr>
      <w:r w:rsidRPr="000B7432">
        <w:rPr>
          <w:rFonts w:cs="Times New Roman"/>
          <w:color w:val="auto"/>
        </w:rPr>
        <w:t>Ban hành kèm theo Nghị định này Danh mục nơi sử dụng lao động không đượ</w:t>
      </w:r>
      <w:r w:rsidR="0039751C">
        <w:rPr>
          <w:rFonts w:cs="Times New Roman"/>
          <w:color w:val="auto"/>
        </w:rPr>
        <w:t xml:space="preserve">c đình công là những doanh nghiệp, cơ quan, tổ chức hoặc </w:t>
      </w:r>
      <w:r w:rsidR="0039751C" w:rsidRPr="000B7432">
        <w:rPr>
          <w:rFonts w:cs="Times New Roman"/>
          <w:color w:val="auto"/>
        </w:rPr>
        <w:t xml:space="preserve">bộ phận của doanh nghiệp, </w:t>
      </w:r>
      <w:r w:rsidR="0039751C">
        <w:rPr>
          <w:rFonts w:cs="Times New Roman"/>
          <w:color w:val="auto"/>
        </w:rPr>
        <w:t xml:space="preserve">cơ quan, </w:t>
      </w:r>
      <w:r w:rsidR="0039751C" w:rsidRPr="000B7432">
        <w:rPr>
          <w:rFonts w:cs="Times New Roman"/>
          <w:color w:val="auto"/>
        </w:rPr>
        <w:t>tổ chức</w:t>
      </w:r>
      <w:r w:rsidR="0039751C">
        <w:rPr>
          <w:rFonts w:cs="Times New Roman"/>
          <w:color w:val="auto"/>
        </w:rPr>
        <w:t xml:space="preserve"> hoạt động trong những ngành, lĩnh vực mà </w:t>
      </w:r>
      <w:r w:rsidR="00771809">
        <w:rPr>
          <w:rFonts w:cs="Times New Roman"/>
          <w:color w:val="auto"/>
        </w:rPr>
        <w:t xml:space="preserve">việc </w:t>
      </w:r>
      <w:r w:rsidR="0039751C">
        <w:rPr>
          <w:rFonts w:cs="Times New Roman"/>
          <w:color w:val="auto"/>
        </w:rPr>
        <w:t>đình công có thể đe dọa đến quốc phòng, an ninh, trật tự công cộng, sức khỏe con người.</w:t>
      </w:r>
    </w:p>
    <w:p w:rsidR="00045A80" w:rsidRPr="000B7432" w:rsidRDefault="00045A80" w:rsidP="00045A80">
      <w:pPr>
        <w:spacing w:after="120"/>
        <w:rPr>
          <w:rFonts w:cs="Times New Roman"/>
          <w:b/>
          <w:color w:val="auto"/>
        </w:rPr>
      </w:pPr>
      <w:r w:rsidRPr="000B7432">
        <w:rPr>
          <w:rFonts w:cs="Times New Roman"/>
          <w:b/>
          <w:color w:val="auto"/>
        </w:rPr>
        <w:lastRenderedPageBreak/>
        <w:t xml:space="preserve">Điều 4. Giải quyết tranh chấp lao động cá nhân, tranh chấp lao động tập thể về quyền tại nơi sử dụng lao động không được đình công </w:t>
      </w:r>
    </w:p>
    <w:p w:rsidR="00045A80" w:rsidRPr="000B7432" w:rsidRDefault="00045A80" w:rsidP="00045A80">
      <w:pPr>
        <w:spacing w:after="120"/>
        <w:rPr>
          <w:rFonts w:cs="Times New Roman"/>
          <w:color w:val="auto"/>
        </w:rPr>
      </w:pPr>
      <w:r w:rsidRPr="000B7432">
        <w:rPr>
          <w:rFonts w:cs="Times New Roman"/>
          <w:color w:val="auto"/>
        </w:rPr>
        <w:t>1</w:t>
      </w:r>
      <w:r w:rsidRPr="000B7432">
        <w:rPr>
          <w:rFonts w:cs="Times New Roman"/>
          <w:color w:val="auto"/>
          <w:spacing w:val="-2"/>
        </w:rPr>
        <w:t xml:space="preserve">. Tranh chấp lao động cá nhân được giải quyết theo quy định tại </w:t>
      </w:r>
      <w:r w:rsidR="009B1252">
        <w:rPr>
          <w:rFonts w:cs="Times New Roman"/>
          <w:color w:val="auto"/>
          <w:spacing w:val="-2"/>
        </w:rPr>
        <w:t xml:space="preserve">các </w:t>
      </w:r>
      <w:r w:rsidRPr="000B7432">
        <w:rPr>
          <w:rFonts w:cs="Times New Roman"/>
          <w:color w:val="auto"/>
          <w:spacing w:val="-2"/>
        </w:rPr>
        <w:t>Điề</w:t>
      </w:r>
      <w:r w:rsidR="009B1252">
        <w:rPr>
          <w:rFonts w:cs="Times New Roman"/>
          <w:color w:val="auto"/>
          <w:spacing w:val="-2"/>
        </w:rPr>
        <w:t xml:space="preserve">u 187, 188, 189 và </w:t>
      </w:r>
      <w:r w:rsidRPr="000B7432">
        <w:rPr>
          <w:rFonts w:cs="Times New Roman"/>
          <w:color w:val="auto"/>
          <w:spacing w:val="-2"/>
        </w:rPr>
        <w:t>190 của Bộ luật Lao động</w:t>
      </w:r>
      <w:r w:rsidRPr="000B7432">
        <w:rPr>
          <w:rFonts w:cs="Times New Roman"/>
          <w:color w:val="auto"/>
        </w:rPr>
        <w:t>.</w:t>
      </w:r>
    </w:p>
    <w:p w:rsidR="00045A80" w:rsidRPr="000B7432" w:rsidRDefault="00045A80" w:rsidP="00045A80">
      <w:pPr>
        <w:spacing w:after="120"/>
        <w:rPr>
          <w:rFonts w:cs="Times New Roman"/>
          <w:color w:val="auto"/>
        </w:rPr>
      </w:pPr>
      <w:r w:rsidRPr="000B7432">
        <w:rPr>
          <w:rFonts w:cs="Times New Roman"/>
          <w:color w:val="auto"/>
        </w:rPr>
        <w:t xml:space="preserve">2. Tranh chấp lao động tập thể về quyền được giải quyết theo quy định tại </w:t>
      </w:r>
      <w:r w:rsidR="009B1252">
        <w:rPr>
          <w:rFonts w:cs="Times New Roman"/>
          <w:color w:val="auto"/>
        </w:rPr>
        <w:t xml:space="preserve">các </w:t>
      </w:r>
      <w:r w:rsidRPr="000B7432">
        <w:rPr>
          <w:rFonts w:cs="Times New Roman"/>
          <w:color w:val="auto"/>
        </w:rPr>
        <w:t>Điề</w:t>
      </w:r>
      <w:r w:rsidR="009B1252">
        <w:rPr>
          <w:rFonts w:cs="Times New Roman"/>
          <w:color w:val="auto"/>
        </w:rPr>
        <w:t>u 191, 192, 193 và</w:t>
      </w:r>
      <w:r w:rsidRPr="000B7432">
        <w:rPr>
          <w:rFonts w:cs="Times New Roman"/>
          <w:color w:val="auto"/>
        </w:rPr>
        <w:t xml:space="preserve"> 194 của Bộ luật Lao động.</w:t>
      </w:r>
    </w:p>
    <w:p w:rsidR="00045A80" w:rsidRPr="000B7432" w:rsidRDefault="00045A80" w:rsidP="00045A80">
      <w:pPr>
        <w:spacing w:after="120"/>
        <w:rPr>
          <w:rFonts w:cs="Times New Roman"/>
          <w:b/>
          <w:color w:val="auto"/>
        </w:rPr>
      </w:pPr>
      <w:r w:rsidRPr="000B7432">
        <w:rPr>
          <w:rFonts w:cs="Times New Roman"/>
          <w:b/>
          <w:color w:val="auto"/>
        </w:rPr>
        <w:t>Điều 5. Giải quyết tranh chấp lao động tập thể về lợi ích tại nơi sử dụng lao động không được đình công</w:t>
      </w:r>
    </w:p>
    <w:p w:rsidR="00045A80" w:rsidRPr="000B7432" w:rsidRDefault="00045A80" w:rsidP="00045A80">
      <w:pPr>
        <w:spacing w:after="120"/>
        <w:rPr>
          <w:rFonts w:cs="Times New Roman"/>
          <w:color w:val="auto"/>
        </w:rPr>
      </w:pPr>
      <w:r w:rsidRPr="000B7432">
        <w:rPr>
          <w:rFonts w:cs="Times New Roman"/>
          <w:color w:val="auto"/>
        </w:rPr>
        <w:t>1. Tranh chấp lao động tập thể về lợi ích phải được giải quyết thông qua thủ tục hòa giải của hòa giải viên lao động trước khi yêu cầu Hội đồng trọng tài lao động hoặc Chủ tịch Ủy ban nhân dân tỉnh, thành phố trực thuộc Trung ương giải quyết (sau đây gọi</w:t>
      </w:r>
      <w:r w:rsidR="007D1F1F" w:rsidRPr="000B7432">
        <w:rPr>
          <w:rFonts w:cs="Times New Roman"/>
          <w:color w:val="auto"/>
        </w:rPr>
        <w:t xml:space="preserve"> </w:t>
      </w:r>
      <w:r w:rsidRPr="000B7432">
        <w:rPr>
          <w:rFonts w:cs="Times New Roman"/>
          <w:color w:val="auto"/>
        </w:rPr>
        <w:t>là Chủ tịch Ủy ban nhân dân cấp tỉnh).</w:t>
      </w:r>
    </w:p>
    <w:p w:rsidR="00045A80" w:rsidRPr="000B7432" w:rsidRDefault="00045A80" w:rsidP="00045A80">
      <w:pPr>
        <w:spacing w:after="120"/>
        <w:rPr>
          <w:rFonts w:cs="Times New Roman"/>
          <w:color w:val="auto"/>
        </w:rPr>
      </w:pPr>
      <w:r w:rsidRPr="000B7432">
        <w:rPr>
          <w:rFonts w:cs="Times New Roman"/>
          <w:color w:val="auto"/>
        </w:rPr>
        <w:t>2. Giải quyết tranh chấp lao động tập thể về lợi ích của hòa giải viên lao độ</w:t>
      </w:r>
      <w:r w:rsidR="00765F83">
        <w:rPr>
          <w:rFonts w:cs="Times New Roman"/>
          <w:color w:val="auto"/>
        </w:rPr>
        <w:t>ng</w:t>
      </w:r>
    </w:p>
    <w:p w:rsidR="00045A80" w:rsidRPr="000B7432" w:rsidRDefault="00045A80" w:rsidP="00045A80">
      <w:pPr>
        <w:spacing w:after="120"/>
        <w:rPr>
          <w:rFonts w:cs="Times New Roman"/>
          <w:color w:val="auto"/>
        </w:rPr>
      </w:pPr>
      <w:r w:rsidRPr="000B7432">
        <w:rPr>
          <w:rFonts w:cs="Times New Roman"/>
          <w:color w:val="auto"/>
        </w:rPr>
        <w:t xml:space="preserve">a) Giải quyết tranh chấp lao động tập thể về lợi ích của hòa giải viên lao động được thực hiện theo quy định tại </w:t>
      </w:r>
      <w:r w:rsidR="0039751C">
        <w:rPr>
          <w:rFonts w:cs="Times New Roman"/>
          <w:color w:val="auto"/>
        </w:rPr>
        <w:t>k</w:t>
      </w:r>
      <w:r w:rsidRPr="000B7432">
        <w:rPr>
          <w:rFonts w:cs="Times New Roman"/>
          <w:color w:val="auto"/>
        </w:rPr>
        <w:t>hoản 1 và</w:t>
      </w:r>
      <w:r w:rsidR="009B1252">
        <w:rPr>
          <w:rFonts w:cs="Times New Roman"/>
          <w:color w:val="auto"/>
        </w:rPr>
        <w:t xml:space="preserve"> khoản</w:t>
      </w:r>
      <w:r w:rsidRPr="000B7432">
        <w:rPr>
          <w:rFonts w:cs="Times New Roman"/>
          <w:color w:val="auto"/>
        </w:rPr>
        <w:t xml:space="preserve"> 2 Điều 196 của Bộ luật Lao động.</w:t>
      </w:r>
    </w:p>
    <w:p w:rsidR="00045A80" w:rsidRPr="000B7432" w:rsidRDefault="00045A80" w:rsidP="00045A80">
      <w:pPr>
        <w:spacing w:after="120"/>
        <w:rPr>
          <w:rFonts w:cs="Times New Roman"/>
          <w:color w:val="auto"/>
        </w:rPr>
      </w:pPr>
      <w:r w:rsidRPr="000B7432">
        <w:rPr>
          <w:rFonts w:cs="Times New Roman"/>
          <w:color w:val="auto"/>
        </w:rPr>
        <w:t>b) Trường hợp hòa giải không thành hoặc hết thời hạn hòa giải quy định tại khoản 2 Điều 188 của Bộ luật Lao động mà hòa giải viên lao động không tiến hành hòa giải hoặc một trong các bên không thực hiện thỏa thuận trong biên bản hòa giải thành thì các bên tranh chấp có quyền yêu cầu Hội đồng trọng tài lao động hoặc Chủ tịch Ủy ban nhân dân cấp tỉnh giải quyết.</w:t>
      </w:r>
    </w:p>
    <w:p w:rsidR="00045A80" w:rsidRPr="000B7432" w:rsidRDefault="00045A80" w:rsidP="00045A80">
      <w:pPr>
        <w:spacing w:after="120"/>
        <w:rPr>
          <w:rFonts w:cs="Times New Roman"/>
          <w:color w:val="auto"/>
        </w:rPr>
      </w:pPr>
      <w:r w:rsidRPr="000B7432">
        <w:rPr>
          <w:rFonts w:cs="Times New Roman"/>
          <w:color w:val="auto"/>
        </w:rPr>
        <w:t>3. Giải quyết tranh chấp lao động tập thể về lợi ích của Hội đồng trọng tài lao độ</w:t>
      </w:r>
      <w:r w:rsidR="00765F83">
        <w:rPr>
          <w:rFonts w:cs="Times New Roman"/>
          <w:color w:val="auto"/>
        </w:rPr>
        <w:t>ng</w:t>
      </w:r>
    </w:p>
    <w:p w:rsidR="00045A80" w:rsidRPr="000B7432" w:rsidRDefault="00045A80" w:rsidP="00045A80">
      <w:pPr>
        <w:spacing w:after="120"/>
        <w:rPr>
          <w:rFonts w:cs="Times New Roman"/>
          <w:color w:val="auto"/>
        </w:rPr>
      </w:pPr>
      <w:r w:rsidRPr="000B7432">
        <w:rPr>
          <w:rFonts w:cs="Times New Roman"/>
          <w:color w:val="auto"/>
        </w:rPr>
        <w:t xml:space="preserve">a) Giải quyết tranh chấp lao động tập thể về lợi ích của Hội đồng trọng tài lao động thực hiện theo quy định tại </w:t>
      </w:r>
      <w:r w:rsidR="009B1252">
        <w:rPr>
          <w:rFonts w:cs="Times New Roman"/>
          <w:color w:val="auto"/>
        </w:rPr>
        <w:t xml:space="preserve">các </w:t>
      </w:r>
      <w:r w:rsidR="0039751C">
        <w:rPr>
          <w:rFonts w:cs="Times New Roman"/>
          <w:color w:val="auto"/>
        </w:rPr>
        <w:t>k</w:t>
      </w:r>
      <w:r w:rsidRPr="000B7432">
        <w:rPr>
          <w:rFonts w:cs="Times New Roman"/>
          <w:color w:val="auto"/>
        </w:rPr>
        <w:t>hoản 1, 2 và 3 Điều 197 của Bộ luật Lao động.</w:t>
      </w:r>
    </w:p>
    <w:p w:rsidR="00045A80" w:rsidRPr="000B7432" w:rsidRDefault="00045A80" w:rsidP="00045A80">
      <w:pPr>
        <w:spacing w:after="120"/>
        <w:rPr>
          <w:rFonts w:cs="Times New Roman"/>
          <w:color w:val="auto"/>
        </w:rPr>
      </w:pPr>
      <w:r w:rsidRPr="000B7432">
        <w:rPr>
          <w:rFonts w:cs="Times New Roman"/>
          <w:color w:val="auto"/>
        </w:rPr>
        <w:t xml:space="preserve">b) Trường hợp hết thời hạn quy định tại khoản 2 Điều 197 </w:t>
      </w:r>
      <w:r w:rsidR="009B1252">
        <w:rPr>
          <w:rFonts w:cs="Times New Roman"/>
          <w:color w:val="auto"/>
        </w:rPr>
        <w:t xml:space="preserve">của </w:t>
      </w:r>
      <w:r w:rsidRPr="000B7432">
        <w:rPr>
          <w:rFonts w:cs="Times New Roman"/>
          <w:color w:val="auto"/>
        </w:rPr>
        <w:t xml:space="preserve">Bộ luật Lao động mà Ban trọng tài lao động không được thành lập hoặc hết thời hạn quy định tại khoản 3 Điều 197 </w:t>
      </w:r>
      <w:r w:rsidR="009B1252">
        <w:rPr>
          <w:rFonts w:cs="Times New Roman"/>
          <w:color w:val="auto"/>
        </w:rPr>
        <w:t xml:space="preserve">của </w:t>
      </w:r>
      <w:r w:rsidRPr="000B7432">
        <w:rPr>
          <w:rFonts w:cs="Times New Roman"/>
          <w:color w:val="auto"/>
        </w:rPr>
        <w:t>Bộ luật Lao động mà Ban trọng tài không ra quyết định giải quyết tranh chấp hoặc một trong hai bên không thực hiện quyết định giải quyết tranh chấp của Ban trọng tài lao động thì một trong các bên có quyền yêu cầu Chủ tịch Ủy ban nhân dân cấp tỉnh giải quyết vụ việc tranh chấp.</w:t>
      </w:r>
    </w:p>
    <w:p w:rsidR="00045A80" w:rsidRPr="000B7432" w:rsidRDefault="00045A80" w:rsidP="00045A80">
      <w:pPr>
        <w:spacing w:after="120"/>
        <w:rPr>
          <w:rFonts w:cs="Times New Roman"/>
          <w:color w:val="auto"/>
        </w:rPr>
      </w:pPr>
      <w:r w:rsidRPr="000B7432">
        <w:rPr>
          <w:rFonts w:cs="Times New Roman"/>
          <w:color w:val="auto"/>
        </w:rPr>
        <w:t>Trong thời gian Hội đồng trọng tài lao động giải quyết tranh chấp lao động tập thể về lợi ích, các bên không được đồng thời đề nghị Chủ tịch Ủy ban nhân dân cấp tỉnh giải quyết.</w:t>
      </w:r>
    </w:p>
    <w:p w:rsidR="00045A80" w:rsidRPr="000B7432" w:rsidRDefault="00045A80" w:rsidP="00045A80">
      <w:pPr>
        <w:spacing w:after="120"/>
        <w:rPr>
          <w:rFonts w:cs="Times New Roman"/>
          <w:color w:val="auto"/>
        </w:rPr>
      </w:pPr>
      <w:r w:rsidRPr="000B7432">
        <w:rPr>
          <w:rFonts w:cs="Times New Roman"/>
          <w:color w:val="auto"/>
        </w:rPr>
        <w:t>4. Giải quyết tranh chấp lao động tập thể về lợi ích của Chủ tịch Ủy ban nhân dân cấp tỉ</w:t>
      </w:r>
      <w:r w:rsidR="0039751C">
        <w:rPr>
          <w:rFonts w:cs="Times New Roman"/>
          <w:color w:val="auto"/>
        </w:rPr>
        <w:t>nh</w:t>
      </w:r>
    </w:p>
    <w:p w:rsidR="00045A80" w:rsidRPr="000B7432" w:rsidRDefault="00045A80" w:rsidP="00045A80">
      <w:pPr>
        <w:spacing w:after="120"/>
        <w:rPr>
          <w:rFonts w:cs="Times New Roman"/>
          <w:color w:val="auto"/>
        </w:rPr>
      </w:pPr>
      <w:r w:rsidRPr="000B7432">
        <w:rPr>
          <w:rFonts w:cs="Times New Roman"/>
          <w:color w:val="auto"/>
        </w:rPr>
        <w:lastRenderedPageBreak/>
        <w:t xml:space="preserve">a) Trong thời hạn 02 ngày làm việc kể từ </w:t>
      </w:r>
      <w:r w:rsidR="009B1252">
        <w:rPr>
          <w:rFonts w:cs="Times New Roman"/>
          <w:color w:val="auto"/>
        </w:rPr>
        <w:t>ngày</w:t>
      </w:r>
      <w:r w:rsidRPr="000B7432">
        <w:rPr>
          <w:rFonts w:cs="Times New Roman"/>
          <w:color w:val="auto"/>
        </w:rPr>
        <w:t xml:space="preserve"> nhận được yêu cầu giải quyết tranh chấp lao động tập thể về lợi ích, Chủ tịch Ủy ban nhân dân cấp tỉnh phân công Sở Lao động – Thương binh và Xã hội </w:t>
      </w:r>
      <w:r w:rsidR="00771809">
        <w:rPr>
          <w:rFonts w:cs="Times New Roman"/>
          <w:color w:val="auto"/>
        </w:rPr>
        <w:t xml:space="preserve">tỉnh, thành phố trực thuộc Trung ương (sau đây gọi là Sở Lao động – Thương binh và Xã hội) </w:t>
      </w:r>
      <w:r w:rsidRPr="000B7432">
        <w:rPr>
          <w:rFonts w:cs="Times New Roman"/>
          <w:color w:val="auto"/>
        </w:rPr>
        <w:t>phối hợp với các cơ quan liên quan đề xuất giải quyết tranh chấp.</w:t>
      </w:r>
    </w:p>
    <w:p w:rsidR="00045A80" w:rsidRPr="000B7432" w:rsidRDefault="00045A80" w:rsidP="00045A80">
      <w:pPr>
        <w:spacing w:after="120"/>
        <w:rPr>
          <w:rFonts w:cs="Times New Roman"/>
          <w:color w:val="auto"/>
        </w:rPr>
      </w:pPr>
      <w:r w:rsidRPr="000B7432">
        <w:rPr>
          <w:rFonts w:cs="Times New Roman"/>
          <w:color w:val="auto"/>
        </w:rPr>
        <w:t>b) Trong thời hạn 1</w:t>
      </w:r>
      <w:r w:rsidR="00771809">
        <w:rPr>
          <w:rFonts w:cs="Times New Roman"/>
          <w:color w:val="auto"/>
        </w:rPr>
        <w:t>0</w:t>
      </w:r>
      <w:r w:rsidRPr="000B7432">
        <w:rPr>
          <w:rFonts w:cs="Times New Roman"/>
          <w:color w:val="auto"/>
        </w:rPr>
        <w:t xml:space="preserve"> ngày</w:t>
      </w:r>
      <w:r w:rsidR="00771809">
        <w:rPr>
          <w:rFonts w:cs="Times New Roman"/>
          <w:color w:val="auto"/>
        </w:rPr>
        <w:t xml:space="preserve"> làm việc</w:t>
      </w:r>
      <w:r w:rsidRPr="000B7432">
        <w:rPr>
          <w:rFonts w:cs="Times New Roman"/>
          <w:color w:val="auto"/>
        </w:rPr>
        <w:t xml:space="preserve"> kể từ ngày được Chủ tịch Ủy ban nhân dân cấp tỉnh phân công tiến hành giải quyết tranh chấp lao động, Sở Lao động – Thương binh và Xã hội có trách nhiệm phối hợp với Liên đoàn Lao động cấp tỉ</w:t>
      </w:r>
      <w:r w:rsidR="00771809">
        <w:rPr>
          <w:rFonts w:cs="Times New Roman"/>
          <w:color w:val="auto"/>
        </w:rPr>
        <w:t xml:space="preserve">nh </w:t>
      </w:r>
      <w:r w:rsidRPr="000B7432">
        <w:rPr>
          <w:rFonts w:cs="Times New Roman"/>
          <w:color w:val="auto"/>
        </w:rPr>
        <w:t>và cơ quan có liên quan tìm hiểu vụ việc, hướng dẫn các bên tranh chấp tiến hành thương lượng giải quyết vụ việc tranh chấp. Trường hợp các bên tranh chấp đạt được thỏa thuận thì Sở Lao động – Thương binh và Xã hội lập Biên bản có chữ ký của đại diện các bên tranh chấp và có văn bản báo cáo Chủ tịch Ủy ban nhân dân cấp tỉnh</w:t>
      </w:r>
      <w:r w:rsidR="00771809">
        <w:rPr>
          <w:rFonts w:cs="Times New Roman"/>
          <w:color w:val="auto"/>
        </w:rPr>
        <w:t xml:space="preserve"> t</w:t>
      </w:r>
      <w:r w:rsidRPr="000B7432">
        <w:rPr>
          <w:rFonts w:cs="Times New Roman"/>
          <w:color w:val="auto"/>
        </w:rPr>
        <w:t xml:space="preserve">hông báo kết quả </w:t>
      </w:r>
      <w:r w:rsidR="002E5B1D">
        <w:rPr>
          <w:rFonts w:cs="Times New Roman"/>
          <w:color w:val="auto"/>
        </w:rPr>
        <w:t xml:space="preserve">thỏa thuận </w:t>
      </w:r>
      <w:r w:rsidRPr="000B7432">
        <w:rPr>
          <w:rFonts w:cs="Times New Roman"/>
          <w:color w:val="auto"/>
        </w:rPr>
        <w:t>giải quyết tranh chấp lao động.</w:t>
      </w:r>
      <w:r w:rsidR="00771809">
        <w:rPr>
          <w:rFonts w:cs="Times New Roman"/>
          <w:color w:val="auto"/>
        </w:rPr>
        <w:t xml:space="preserve"> </w:t>
      </w:r>
      <w:r w:rsidRPr="000B7432">
        <w:rPr>
          <w:rFonts w:cs="Times New Roman"/>
          <w:color w:val="auto"/>
        </w:rPr>
        <w:t xml:space="preserve">Trường hợp </w:t>
      </w:r>
      <w:r w:rsidR="002E5B1D">
        <w:rPr>
          <w:rFonts w:cs="Times New Roman"/>
          <w:color w:val="auto"/>
        </w:rPr>
        <w:t xml:space="preserve">khi hết thời hạn 10 ngày làm việc mà </w:t>
      </w:r>
      <w:r w:rsidRPr="000B7432">
        <w:rPr>
          <w:rFonts w:cs="Times New Roman"/>
          <w:color w:val="auto"/>
        </w:rPr>
        <w:t>các bên tranh chấp không đạt được thỏa thuậ</w:t>
      </w:r>
      <w:r w:rsidR="002E5B1D">
        <w:rPr>
          <w:rFonts w:cs="Times New Roman"/>
          <w:color w:val="auto"/>
        </w:rPr>
        <w:t>n thì</w:t>
      </w:r>
      <w:r w:rsidRPr="000B7432">
        <w:rPr>
          <w:rFonts w:cs="Times New Roman"/>
          <w:color w:val="auto"/>
        </w:rPr>
        <w:t xml:space="preserve"> trong thời hạn 05 ngày làm việc </w:t>
      </w:r>
      <w:r w:rsidR="00771809">
        <w:rPr>
          <w:rFonts w:cs="Times New Roman"/>
          <w:color w:val="auto"/>
        </w:rPr>
        <w:t>tiếp theo</w:t>
      </w:r>
      <w:r w:rsidRPr="000B7432">
        <w:rPr>
          <w:rFonts w:cs="Times New Roman"/>
          <w:color w:val="auto"/>
        </w:rPr>
        <w:t>, Sở Lao động – Thương binh và Xã hội phối hợp với Liên đoàn Lao động cấp tỉ</w:t>
      </w:r>
      <w:r w:rsidR="00771809">
        <w:rPr>
          <w:rFonts w:cs="Times New Roman"/>
          <w:color w:val="auto"/>
        </w:rPr>
        <w:t xml:space="preserve">nh </w:t>
      </w:r>
      <w:r w:rsidRPr="000B7432">
        <w:rPr>
          <w:rFonts w:cs="Times New Roman"/>
          <w:color w:val="auto"/>
        </w:rPr>
        <w:t xml:space="preserve">và cơ quan có liên quan </w:t>
      </w:r>
      <w:r w:rsidR="00771809">
        <w:rPr>
          <w:rFonts w:cs="Times New Roman"/>
          <w:color w:val="auto"/>
        </w:rPr>
        <w:t>đề xuất</w:t>
      </w:r>
      <w:r w:rsidRPr="000B7432">
        <w:rPr>
          <w:rFonts w:cs="Times New Roman"/>
          <w:color w:val="auto"/>
        </w:rPr>
        <w:t xml:space="preserve"> phương án giải quyết tranh chấp lao động</w:t>
      </w:r>
      <w:r w:rsidR="00771809">
        <w:rPr>
          <w:rFonts w:cs="Times New Roman"/>
          <w:color w:val="auto"/>
        </w:rPr>
        <w:t>,</w:t>
      </w:r>
      <w:r w:rsidRPr="000B7432">
        <w:rPr>
          <w:rFonts w:cs="Times New Roman"/>
          <w:color w:val="auto"/>
        </w:rPr>
        <w:t xml:space="preserve"> báo cáo Chủ tịch Ủy ban nhân dân cấp tỉnh xem xét, quyết định.</w:t>
      </w:r>
    </w:p>
    <w:p w:rsidR="00045A80" w:rsidRPr="000B7432" w:rsidRDefault="00045A80" w:rsidP="00045A80">
      <w:pPr>
        <w:spacing w:after="120"/>
        <w:rPr>
          <w:rFonts w:cs="Times New Roman"/>
          <w:color w:val="auto"/>
        </w:rPr>
      </w:pPr>
      <w:r w:rsidRPr="000B7432">
        <w:rPr>
          <w:rFonts w:cs="Times New Roman"/>
          <w:color w:val="auto"/>
        </w:rPr>
        <w:t>c) Trong thời hạn 05 ngày làm việ</w:t>
      </w:r>
      <w:r w:rsidR="002E5B1D">
        <w:rPr>
          <w:rFonts w:cs="Times New Roman"/>
          <w:color w:val="auto"/>
        </w:rPr>
        <w:t>c</w:t>
      </w:r>
      <w:r w:rsidRPr="000B7432">
        <w:rPr>
          <w:rFonts w:cs="Times New Roman"/>
          <w:color w:val="auto"/>
        </w:rPr>
        <w:t xml:space="preserve"> kể từ ngày nhận được phương án giải quyết tranh chấp lao động do Sở Lao động – Thương binh và Xã hội đề xuất, Chủ tịch Ủy ban nhân dân cấp tỉnh chủ trì cuộc họp mời các bên tranh chấp, đại diện Liên đoàn Lao động cấp tỉ</w:t>
      </w:r>
      <w:r w:rsidR="00771809">
        <w:rPr>
          <w:rFonts w:cs="Times New Roman"/>
          <w:color w:val="auto"/>
        </w:rPr>
        <w:t xml:space="preserve">nh </w:t>
      </w:r>
      <w:r w:rsidRPr="000B7432">
        <w:rPr>
          <w:rFonts w:cs="Times New Roman"/>
          <w:color w:val="auto"/>
        </w:rPr>
        <w:t>và các cơ quan, tổ chức có liên quan cho ý kiến về</w:t>
      </w:r>
      <w:r w:rsidR="00771809">
        <w:rPr>
          <w:rFonts w:cs="Times New Roman"/>
          <w:color w:val="auto"/>
        </w:rPr>
        <w:t xml:space="preserve"> p</w:t>
      </w:r>
      <w:r w:rsidRPr="000B7432">
        <w:rPr>
          <w:rFonts w:cs="Times New Roman"/>
          <w:color w:val="auto"/>
        </w:rPr>
        <w:t xml:space="preserve">hương án giải quyết tranh chấp và </w:t>
      </w:r>
      <w:r w:rsidR="002E5B1D">
        <w:rPr>
          <w:rFonts w:cs="Times New Roman"/>
          <w:color w:val="auto"/>
        </w:rPr>
        <w:t xml:space="preserve">ra </w:t>
      </w:r>
      <w:r w:rsidRPr="000B7432">
        <w:rPr>
          <w:rFonts w:cs="Times New Roman"/>
          <w:color w:val="auto"/>
        </w:rPr>
        <w:t>quyết định giải quyết tranh chấp lao động.</w:t>
      </w:r>
    </w:p>
    <w:p w:rsidR="00045A80" w:rsidRPr="000B7432" w:rsidRDefault="00045A80" w:rsidP="00DD1091">
      <w:pPr>
        <w:spacing w:before="120" w:after="120"/>
        <w:rPr>
          <w:rFonts w:cs="Times New Roman"/>
          <w:color w:val="auto"/>
        </w:rPr>
      </w:pPr>
      <w:r w:rsidRPr="000B7432">
        <w:rPr>
          <w:rFonts w:eastAsia="Times New Roman" w:cs="Times New Roman"/>
          <w:bCs/>
          <w:color w:val="auto"/>
        </w:rPr>
        <w:t xml:space="preserve">Quyết định </w:t>
      </w:r>
      <w:r w:rsidR="00771809">
        <w:rPr>
          <w:rFonts w:eastAsia="Times New Roman" w:cs="Times New Roman"/>
          <w:bCs/>
          <w:color w:val="auto"/>
        </w:rPr>
        <w:t xml:space="preserve">giải quyết tranh chấp lao động </w:t>
      </w:r>
      <w:r w:rsidRPr="000B7432">
        <w:rPr>
          <w:rFonts w:eastAsia="Times New Roman" w:cs="Times New Roman"/>
          <w:bCs/>
          <w:color w:val="auto"/>
        </w:rPr>
        <w:t xml:space="preserve">của Chủ tịch Ủy ban nhân dân </w:t>
      </w:r>
      <w:r w:rsidR="00355D03" w:rsidRPr="000B7432">
        <w:rPr>
          <w:rFonts w:eastAsia="Times New Roman" w:cs="Times New Roman"/>
          <w:bCs/>
          <w:color w:val="auto"/>
        </w:rPr>
        <w:t xml:space="preserve">cấp </w:t>
      </w:r>
      <w:r w:rsidRPr="000B7432">
        <w:rPr>
          <w:rFonts w:eastAsia="Times New Roman" w:cs="Times New Roman"/>
          <w:bCs/>
          <w:color w:val="auto"/>
        </w:rPr>
        <w:t>tỉnh là quyết định cuối cùng mà các bên tranh chấp phải chấp hành.</w:t>
      </w:r>
    </w:p>
    <w:p w:rsidR="00045A80" w:rsidRPr="000B7432" w:rsidRDefault="00045A80" w:rsidP="00DD1091">
      <w:pPr>
        <w:spacing w:before="120" w:after="120"/>
        <w:rPr>
          <w:rFonts w:cs="Times New Roman"/>
          <w:b/>
          <w:color w:val="auto"/>
        </w:rPr>
      </w:pPr>
      <w:r w:rsidRPr="000B7432">
        <w:rPr>
          <w:rFonts w:cs="Times New Roman"/>
          <w:b/>
          <w:color w:val="auto"/>
        </w:rPr>
        <w:t>Điều 6. Giải quyết tranh chấp về quyền thương lượng tập thể tại nơi sử dụng lao động không được đình công</w:t>
      </w:r>
    </w:p>
    <w:p w:rsidR="00045A80" w:rsidRPr="000B7432" w:rsidRDefault="00045A80" w:rsidP="00DD1091">
      <w:pPr>
        <w:spacing w:before="120" w:after="120"/>
        <w:rPr>
          <w:rFonts w:cs="Times New Roman"/>
          <w:b/>
          <w:color w:val="auto"/>
        </w:rPr>
      </w:pPr>
      <w:r w:rsidRPr="000B7432">
        <w:rPr>
          <w:rFonts w:cs="Times New Roman"/>
          <w:color w:val="auto"/>
        </w:rPr>
        <w:t xml:space="preserve">Tranh chấp giữa các bên liên quan về quyền thương lượng tập thể </w:t>
      </w:r>
      <w:r w:rsidRPr="000B7432">
        <w:rPr>
          <w:color w:val="auto"/>
        </w:rPr>
        <w:t>tại nơi sử dụng lao động không đượ</w:t>
      </w:r>
      <w:r w:rsidR="00771809">
        <w:rPr>
          <w:color w:val="auto"/>
        </w:rPr>
        <w:t>c đình công</w:t>
      </w:r>
      <w:r w:rsidRPr="000B7432">
        <w:rPr>
          <w:color w:val="auto"/>
        </w:rPr>
        <w:t xml:space="preserve"> được thực hiện theo quy định của Chính phủ </w:t>
      </w:r>
      <w:r w:rsidR="00771809">
        <w:rPr>
          <w:color w:val="auto"/>
        </w:rPr>
        <w:t xml:space="preserve">về </w:t>
      </w:r>
      <w:r w:rsidRPr="000B7432">
        <w:rPr>
          <w:color w:val="auto"/>
        </w:rPr>
        <w:t xml:space="preserve">quy định chi tiết thi hành </w:t>
      </w:r>
      <w:r w:rsidR="00771809">
        <w:rPr>
          <w:color w:val="auto"/>
        </w:rPr>
        <w:t>k</w:t>
      </w:r>
      <w:r w:rsidRPr="000B7432">
        <w:rPr>
          <w:color w:val="auto"/>
        </w:rPr>
        <w:t>hoản 4 Điều 68 của Bộ luật Lao động về giải quyết tranh chấp giữa các bên liên quan đến quyền thương lượng tập thể.</w:t>
      </w:r>
    </w:p>
    <w:p w:rsidR="00045A80" w:rsidRPr="000B7432" w:rsidRDefault="00045A80" w:rsidP="00DD1091">
      <w:pPr>
        <w:spacing w:before="120" w:after="120"/>
        <w:rPr>
          <w:rFonts w:cs="Times New Roman"/>
          <w:b/>
          <w:color w:val="auto"/>
        </w:rPr>
      </w:pPr>
      <w:r w:rsidRPr="000B7432">
        <w:rPr>
          <w:rFonts w:cs="Times New Roman"/>
          <w:b/>
          <w:color w:val="auto"/>
        </w:rPr>
        <w:t>Điều 7. Hiệu lực thi hành</w:t>
      </w:r>
    </w:p>
    <w:p w:rsidR="00045A80" w:rsidRPr="000B7432" w:rsidRDefault="00045A80" w:rsidP="00DD1091">
      <w:pPr>
        <w:spacing w:before="120" w:after="120"/>
        <w:rPr>
          <w:rFonts w:cs="Times New Roman"/>
          <w:color w:val="auto"/>
        </w:rPr>
      </w:pPr>
      <w:r w:rsidRPr="000B7432">
        <w:rPr>
          <w:rFonts w:cs="Times New Roman"/>
          <w:color w:val="auto"/>
        </w:rPr>
        <w:t>1. Nghị định này có hiệu lực thi hành kể từ ngày 01 tháng 01 năm 2021.</w:t>
      </w:r>
    </w:p>
    <w:p w:rsidR="00045A80" w:rsidRDefault="00045A80" w:rsidP="00DD1091">
      <w:pPr>
        <w:spacing w:before="120" w:after="120"/>
        <w:rPr>
          <w:rFonts w:cs="Times New Roman"/>
          <w:color w:val="auto"/>
        </w:rPr>
      </w:pPr>
      <w:r w:rsidRPr="000B7432">
        <w:rPr>
          <w:rFonts w:cs="Times New Roman"/>
          <w:color w:val="auto"/>
        </w:rPr>
        <w:t>2. Nghị định số 41/2013/NĐ-CP ngày 08 tháng 05 năm 2013 của Chính phủ quy định chi tiế</w:t>
      </w:r>
      <w:r w:rsidR="00AC6EF3" w:rsidRPr="000B7432">
        <w:rPr>
          <w:rFonts w:cs="Times New Roman"/>
          <w:color w:val="auto"/>
        </w:rPr>
        <w:t>t thi hành Đ</w:t>
      </w:r>
      <w:r w:rsidRPr="000B7432">
        <w:rPr>
          <w:rFonts w:cs="Times New Roman"/>
          <w:color w:val="auto"/>
        </w:rPr>
        <w:t>iều 220 của Bộ luật Lao động về danh mục đơn vị sử dụng lao động không được đình công và giải quyết yêu cầu của tập thể lao động ở đơn vị sử dụng lao động không được đình công hết hiệu lực kể từ ngày Nghị định này có hiệu lực.</w:t>
      </w:r>
    </w:p>
    <w:p w:rsidR="00DD1091" w:rsidRPr="000B7432" w:rsidRDefault="00DD1091" w:rsidP="00DD1091">
      <w:pPr>
        <w:spacing w:before="120" w:after="120"/>
        <w:rPr>
          <w:rFonts w:cs="Times New Roman"/>
          <w:color w:val="auto"/>
        </w:rPr>
      </w:pPr>
    </w:p>
    <w:p w:rsidR="00045A80" w:rsidRPr="000B7432" w:rsidRDefault="00045A80" w:rsidP="00DD1091">
      <w:pPr>
        <w:spacing w:before="120" w:after="120"/>
        <w:rPr>
          <w:rFonts w:cs="Times New Roman"/>
          <w:b/>
          <w:color w:val="auto"/>
        </w:rPr>
      </w:pPr>
      <w:r w:rsidRPr="000B7432">
        <w:rPr>
          <w:rFonts w:cs="Times New Roman"/>
          <w:b/>
          <w:color w:val="auto"/>
        </w:rPr>
        <w:lastRenderedPageBreak/>
        <w:t>Điều 8. Trách nhiệm thi hành</w:t>
      </w:r>
    </w:p>
    <w:p w:rsidR="00045A80" w:rsidRPr="000B7432" w:rsidRDefault="00045A80" w:rsidP="00045A80">
      <w:pPr>
        <w:spacing w:after="120"/>
        <w:rPr>
          <w:rFonts w:cs="Times New Roman"/>
          <w:color w:val="auto"/>
        </w:rPr>
      </w:pPr>
      <w:r w:rsidRPr="000B7432">
        <w:rPr>
          <w:rFonts w:cs="Times New Roman"/>
          <w:color w:val="auto"/>
        </w:rPr>
        <w:t xml:space="preserve">Bộ trưởng, Thủ trưởng cơ quan ngang Bộ, </w:t>
      </w:r>
      <w:r w:rsidR="009B1252">
        <w:rPr>
          <w:rFonts w:cs="Times New Roman"/>
          <w:color w:val="auto"/>
        </w:rPr>
        <w:t xml:space="preserve">Thủ trưởng </w:t>
      </w:r>
      <w:r w:rsidRPr="000B7432">
        <w:rPr>
          <w:rFonts w:cs="Times New Roman"/>
          <w:color w:val="auto"/>
        </w:rPr>
        <w:t>cơ quan thuộc Chính phủ, Chủ tịch Ủy ban nhân dân tỉnh, thành phố trực thuộc Trung ương</w:t>
      </w:r>
      <w:r w:rsidR="009B1252">
        <w:rPr>
          <w:rFonts w:cs="Times New Roman"/>
          <w:color w:val="auto"/>
        </w:rPr>
        <w:t xml:space="preserve">, </w:t>
      </w:r>
      <w:r w:rsidRPr="000B7432">
        <w:rPr>
          <w:rFonts w:cs="Times New Roman"/>
          <w:color w:val="auto"/>
        </w:rPr>
        <w:t xml:space="preserve">các doanh nghiệp thuộc Danh mục nơi sử dụng lao động không được đình công </w:t>
      </w:r>
      <w:r w:rsidR="009B1252">
        <w:rPr>
          <w:rFonts w:cs="Times New Roman"/>
          <w:color w:val="auto"/>
        </w:rPr>
        <w:t xml:space="preserve">và các cơ quan, tổ chức, cá nhân có liên quan </w:t>
      </w:r>
      <w:r w:rsidRPr="000B7432">
        <w:rPr>
          <w:rFonts w:cs="Times New Roman"/>
          <w:color w:val="auto"/>
        </w:rPr>
        <w:t>chịu trách nhiệm thi hành Nghị định này./.</w:t>
      </w:r>
    </w:p>
    <w:p w:rsidR="00045A80" w:rsidRPr="008C72B8" w:rsidRDefault="00045A80" w:rsidP="00045A80">
      <w:pPr>
        <w:rPr>
          <w:rFonts w:cs="Times New Roman"/>
          <w:color w:val="auto"/>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495"/>
        <w:gridCol w:w="3685"/>
      </w:tblGrid>
      <w:tr w:rsidR="00045A80" w:rsidRPr="008C72B8" w:rsidTr="00B95A1B">
        <w:tc>
          <w:tcPr>
            <w:tcW w:w="5495" w:type="dxa"/>
            <w:tcBorders>
              <w:top w:val="nil"/>
              <w:left w:val="nil"/>
              <w:bottom w:val="nil"/>
              <w:right w:val="nil"/>
              <w:tl2br w:val="nil"/>
              <w:tr2bl w:val="nil"/>
            </w:tcBorders>
            <w:shd w:val="clear" w:color="auto" w:fill="auto"/>
            <w:tcMar>
              <w:top w:w="0" w:type="dxa"/>
              <w:left w:w="108" w:type="dxa"/>
              <w:bottom w:w="0" w:type="dxa"/>
              <w:right w:w="108" w:type="dxa"/>
            </w:tcMar>
          </w:tcPr>
          <w:p w:rsidR="00045A80" w:rsidRPr="008C72B8" w:rsidRDefault="00045A80" w:rsidP="00B95A1B">
            <w:pPr>
              <w:ind w:firstLine="0"/>
              <w:rPr>
                <w:rFonts w:eastAsia="Times New Roman" w:cs="Times New Roman"/>
                <w:b/>
                <w:i/>
                <w:color w:val="auto"/>
                <w:sz w:val="24"/>
                <w:szCs w:val="22"/>
              </w:rPr>
            </w:pPr>
            <w:r w:rsidRPr="008C72B8">
              <w:rPr>
                <w:rFonts w:eastAsia="Times New Roman" w:cs="Times New Roman"/>
                <w:b/>
                <w:i/>
                <w:color w:val="auto"/>
                <w:sz w:val="24"/>
                <w:szCs w:val="22"/>
              </w:rPr>
              <w:t>Nơi nhận:</w:t>
            </w:r>
          </w:p>
          <w:p w:rsidR="00045A80" w:rsidRPr="008C72B8" w:rsidRDefault="00045A80" w:rsidP="00B95A1B">
            <w:pPr>
              <w:ind w:firstLine="0"/>
              <w:rPr>
                <w:rFonts w:eastAsia="Times New Roman" w:cs="Times New Roman"/>
                <w:color w:val="auto"/>
                <w:sz w:val="22"/>
                <w:szCs w:val="22"/>
              </w:rPr>
            </w:pPr>
            <w:r w:rsidRPr="008C72B8">
              <w:rPr>
                <w:rFonts w:eastAsia="Times New Roman" w:cs="Times New Roman"/>
                <w:color w:val="auto"/>
                <w:sz w:val="22"/>
                <w:szCs w:val="22"/>
              </w:rPr>
              <w:t>- Ban Bí thư Trung ương Đảng;</w:t>
            </w:r>
          </w:p>
          <w:p w:rsidR="00045A80" w:rsidRPr="008C72B8" w:rsidRDefault="00045A80" w:rsidP="00B95A1B">
            <w:pPr>
              <w:ind w:firstLine="0"/>
              <w:rPr>
                <w:rFonts w:eastAsia="Times New Roman" w:cs="Times New Roman"/>
                <w:color w:val="auto"/>
                <w:sz w:val="22"/>
                <w:szCs w:val="22"/>
              </w:rPr>
            </w:pPr>
            <w:r w:rsidRPr="008C72B8">
              <w:rPr>
                <w:rFonts w:eastAsia="Times New Roman" w:cs="Times New Roman"/>
                <w:color w:val="auto"/>
                <w:sz w:val="22"/>
                <w:szCs w:val="22"/>
              </w:rPr>
              <w:t>- Thủ tướng, các Phó Thủ tướng Chính phủ;</w:t>
            </w:r>
          </w:p>
          <w:p w:rsidR="00045A80" w:rsidRPr="008C72B8" w:rsidRDefault="00045A80" w:rsidP="00B95A1B">
            <w:pPr>
              <w:ind w:firstLine="0"/>
              <w:rPr>
                <w:rFonts w:eastAsia="Times New Roman" w:cs="Times New Roman"/>
                <w:color w:val="auto"/>
                <w:sz w:val="22"/>
                <w:szCs w:val="22"/>
              </w:rPr>
            </w:pPr>
            <w:r w:rsidRPr="008C72B8">
              <w:rPr>
                <w:rFonts w:eastAsia="Times New Roman" w:cs="Times New Roman"/>
                <w:color w:val="auto"/>
                <w:sz w:val="22"/>
                <w:szCs w:val="22"/>
              </w:rPr>
              <w:t>- Các bộ, cơ quan ngang bộ, cơ quan thuộc Chính phủ;</w:t>
            </w:r>
          </w:p>
          <w:p w:rsidR="00045A80" w:rsidRPr="00771809" w:rsidRDefault="00045A80" w:rsidP="00B95A1B">
            <w:pPr>
              <w:ind w:firstLine="0"/>
              <w:rPr>
                <w:rFonts w:eastAsia="Times New Roman" w:cs="Times New Roman"/>
                <w:color w:val="auto"/>
                <w:spacing w:val="-2"/>
                <w:sz w:val="22"/>
                <w:szCs w:val="22"/>
              </w:rPr>
            </w:pPr>
            <w:r w:rsidRPr="00771809">
              <w:rPr>
                <w:rFonts w:eastAsia="Times New Roman" w:cs="Times New Roman"/>
                <w:color w:val="auto"/>
                <w:spacing w:val="-2"/>
                <w:sz w:val="22"/>
                <w:szCs w:val="22"/>
              </w:rPr>
              <w:t>- HĐND, UBND các tỉnh, thành phố trực thuộc Trung ương;</w:t>
            </w:r>
          </w:p>
          <w:p w:rsidR="00045A80" w:rsidRPr="008C72B8" w:rsidRDefault="00045A80" w:rsidP="00B95A1B">
            <w:pPr>
              <w:ind w:firstLine="0"/>
              <w:rPr>
                <w:rFonts w:eastAsia="Times New Roman" w:cs="Times New Roman"/>
                <w:color w:val="auto"/>
                <w:sz w:val="22"/>
                <w:szCs w:val="22"/>
              </w:rPr>
            </w:pPr>
            <w:r w:rsidRPr="008C72B8">
              <w:rPr>
                <w:rFonts w:eastAsia="Times New Roman" w:cs="Times New Roman"/>
                <w:color w:val="auto"/>
                <w:sz w:val="22"/>
                <w:szCs w:val="22"/>
              </w:rPr>
              <w:t>- Văn phòng Trung ương và các Ban của Đảng;</w:t>
            </w:r>
          </w:p>
          <w:p w:rsidR="00045A80" w:rsidRPr="008C72B8" w:rsidRDefault="00045A80" w:rsidP="00B95A1B">
            <w:pPr>
              <w:ind w:firstLine="0"/>
              <w:rPr>
                <w:rFonts w:eastAsia="Times New Roman" w:cs="Times New Roman"/>
                <w:color w:val="auto"/>
                <w:sz w:val="22"/>
                <w:szCs w:val="22"/>
              </w:rPr>
            </w:pPr>
            <w:r w:rsidRPr="008C72B8">
              <w:rPr>
                <w:rFonts w:eastAsia="Times New Roman" w:cs="Times New Roman"/>
                <w:color w:val="auto"/>
                <w:sz w:val="22"/>
                <w:szCs w:val="22"/>
              </w:rPr>
              <w:t>- Văn phòng Tổng Bí thư;</w:t>
            </w:r>
          </w:p>
          <w:p w:rsidR="00045A80" w:rsidRPr="008C72B8" w:rsidRDefault="00045A80" w:rsidP="00B95A1B">
            <w:pPr>
              <w:ind w:firstLine="0"/>
              <w:rPr>
                <w:rFonts w:eastAsia="Times New Roman" w:cs="Times New Roman"/>
                <w:color w:val="auto"/>
                <w:sz w:val="22"/>
                <w:szCs w:val="22"/>
              </w:rPr>
            </w:pPr>
            <w:r w:rsidRPr="008C72B8">
              <w:rPr>
                <w:rFonts w:eastAsia="Times New Roman" w:cs="Times New Roman"/>
                <w:color w:val="auto"/>
                <w:sz w:val="22"/>
                <w:szCs w:val="22"/>
              </w:rPr>
              <w:t>- Văn phòng Chủ tịch nước;</w:t>
            </w:r>
          </w:p>
          <w:p w:rsidR="00045A80" w:rsidRPr="008C72B8" w:rsidRDefault="00045A80" w:rsidP="00B95A1B">
            <w:pPr>
              <w:ind w:firstLine="0"/>
              <w:rPr>
                <w:rFonts w:eastAsia="Times New Roman" w:cs="Times New Roman"/>
                <w:color w:val="auto"/>
                <w:sz w:val="22"/>
                <w:szCs w:val="22"/>
              </w:rPr>
            </w:pPr>
            <w:r w:rsidRPr="008C72B8">
              <w:rPr>
                <w:rFonts w:eastAsia="Times New Roman" w:cs="Times New Roman"/>
                <w:color w:val="auto"/>
                <w:sz w:val="22"/>
                <w:szCs w:val="22"/>
              </w:rPr>
              <w:t>- Hội đồng dân tộc và các Ủy ban của Quốc hội;</w:t>
            </w:r>
          </w:p>
          <w:p w:rsidR="00045A80" w:rsidRPr="008C72B8" w:rsidRDefault="00045A80" w:rsidP="00B95A1B">
            <w:pPr>
              <w:ind w:firstLine="0"/>
              <w:rPr>
                <w:rFonts w:eastAsia="Times New Roman" w:cs="Times New Roman"/>
                <w:color w:val="auto"/>
                <w:sz w:val="22"/>
                <w:szCs w:val="22"/>
              </w:rPr>
            </w:pPr>
            <w:r w:rsidRPr="008C72B8">
              <w:rPr>
                <w:rFonts w:eastAsia="Times New Roman" w:cs="Times New Roman"/>
                <w:color w:val="auto"/>
                <w:sz w:val="22"/>
                <w:szCs w:val="22"/>
              </w:rPr>
              <w:t>- Văn phòng Quốc hội;</w:t>
            </w:r>
          </w:p>
          <w:p w:rsidR="00045A80" w:rsidRPr="008C72B8" w:rsidRDefault="00045A80" w:rsidP="00B95A1B">
            <w:pPr>
              <w:ind w:firstLine="0"/>
              <w:rPr>
                <w:rFonts w:eastAsia="Times New Roman" w:cs="Times New Roman"/>
                <w:color w:val="auto"/>
                <w:sz w:val="22"/>
                <w:szCs w:val="22"/>
              </w:rPr>
            </w:pPr>
            <w:r w:rsidRPr="008C72B8">
              <w:rPr>
                <w:rFonts w:eastAsia="Times New Roman" w:cs="Times New Roman"/>
                <w:color w:val="auto"/>
                <w:sz w:val="22"/>
                <w:szCs w:val="22"/>
              </w:rPr>
              <w:t>- Tòa án nhân dân tối cao;</w:t>
            </w:r>
          </w:p>
          <w:p w:rsidR="00045A80" w:rsidRPr="008C72B8" w:rsidRDefault="00045A80" w:rsidP="00B95A1B">
            <w:pPr>
              <w:ind w:firstLine="0"/>
              <w:rPr>
                <w:rFonts w:eastAsia="Times New Roman" w:cs="Times New Roman"/>
                <w:color w:val="auto"/>
                <w:sz w:val="22"/>
                <w:szCs w:val="22"/>
              </w:rPr>
            </w:pPr>
            <w:r w:rsidRPr="008C72B8">
              <w:rPr>
                <w:rFonts w:eastAsia="Times New Roman" w:cs="Times New Roman"/>
                <w:color w:val="auto"/>
                <w:sz w:val="22"/>
                <w:szCs w:val="22"/>
              </w:rPr>
              <w:t>- Viện kiểm sát nhân dân tối cao;</w:t>
            </w:r>
          </w:p>
          <w:p w:rsidR="00045A80" w:rsidRPr="008C72B8" w:rsidRDefault="00045A80" w:rsidP="00B95A1B">
            <w:pPr>
              <w:ind w:firstLine="0"/>
              <w:rPr>
                <w:rFonts w:eastAsia="Times New Roman" w:cs="Times New Roman"/>
                <w:color w:val="auto"/>
                <w:sz w:val="22"/>
                <w:szCs w:val="22"/>
              </w:rPr>
            </w:pPr>
            <w:r w:rsidRPr="008C72B8">
              <w:rPr>
                <w:rFonts w:eastAsia="Times New Roman" w:cs="Times New Roman"/>
                <w:color w:val="auto"/>
                <w:sz w:val="22"/>
                <w:szCs w:val="22"/>
              </w:rPr>
              <w:t>- Kiểm toán nhà nước;</w:t>
            </w:r>
          </w:p>
          <w:p w:rsidR="00045A80" w:rsidRPr="008C72B8" w:rsidRDefault="00045A80" w:rsidP="00B95A1B">
            <w:pPr>
              <w:ind w:firstLine="0"/>
              <w:rPr>
                <w:rFonts w:eastAsia="Times New Roman" w:cs="Times New Roman"/>
                <w:color w:val="auto"/>
                <w:sz w:val="22"/>
                <w:szCs w:val="22"/>
              </w:rPr>
            </w:pPr>
            <w:r w:rsidRPr="008C72B8">
              <w:rPr>
                <w:rFonts w:eastAsia="Times New Roman" w:cs="Times New Roman"/>
                <w:color w:val="auto"/>
                <w:sz w:val="22"/>
                <w:szCs w:val="22"/>
              </w:rPr>
              <w:t>- Ủy ban Giám sát tài chính Quốc gia;</w:t>
            </w:r>
          </w:p>
          <w:p w:rsidR="00045A80" w:rsidRPr="008C72B8" w:rsidRDefault="00045A80" w:rsidP="00B95A1B">
            <w:pPr>
              <w:ind w:firstLine="0"/>
              <w:rPr>
                <w:rFonts w:eastAsia="Times New Roman" w:cs="Times New Roman"/>
                <w:color w:val="auto"/>
                <w:sz w:val="22"/>
                <w:szCs w:val="22"/>
              </w:rPr>
            </w:pPr>
            <w:r w:rsidRPr="008C72B8">
              <w:rPr>
                <w:rFonts w:eastAsia="Times New Roman" w:cs="Times New Roman"/>
                <w:color w:val="auto"/>
                <w:sz w:val="22"/>
                <w:szCs w:val="22"/>
              </w:rPr>
              <w:t>- Ngân hàng Chính sách xã hội;</w:t>
            </w:r>
          </w:p>
          <w:p w:rsidR="00045A80" w:rsidRPr="008C72B8" w:rsidRDefault="00045A80" w:rsidP="00B95A1B">
            <w:pPr>
              <w:ind w:firstLine="0"/>
              <w:rPr>
                <w:rFonts w:eastAsia="Times New Roman" w:cs="Times New Roman"/>
                <w:color w:val="auto"/>
                <w:sz w:val="22"/>
                <w:szCs w:val="22"/>
              </w:rPr>
            </w:pPr>
            <w:r w:rsidRPr="008C72B8">
              <w:rPr>
                <w:rFonts w:eastAsia="Times New Roman" w:cs="Times New Roman"/>
                <w:color w:val="auto"/>
                <w:sz w:val="22"/>
                <w:szCs w:val="22"/>
              </w:rPr>
              <w:t>- Ngân hàng Phát triển Việt Nam;</w:t>
            </w:r>
          </w:p>
          <w:p w:rsidR="00045A80" w:rsidRPr="008C72B8" w:rsidRDefault="00045A80" w:rsidP="00B95A1B">
            <w:pPr>
              <w:ind w:firstLine="0"/>
              <w:rPr>
                <w:rFonts w:eastAsia="Times New Roman" w:cs="Times New Roman"/>
                <w:color w:val="auto"/>
                <w:sz w:val="22"/>
                <w:szCs w:val="22"/>
              </w:rPr>
            </w:pPr>
            <w:r w:rsidRPr="008C72B8">
              <w:rPr>
                <w:rFonts w:eastAsia="Times New Roman" w:cs="Times New Roman"/>
                <w:color w:val="auto"/>
                <w:sz w:val="22"/>
                <w:szCs w:val="22"/>
              </w:rPr>
              <w:t>- Ủy ban Trung ương Mặt trận Tổ quốc Việt Nam;</w:t>
            </w:r>
          </w:p>
          <w:p w:rsidR="00045A80" w:rsidRPr="008C72B8" w:rsidRDefault="00045A80" w:rsidP="00B95A1B">
            <w:pPr>
              <w:ind w:firstLine="0"/>
              <w:rPr>
                <w:rFonts w:eastAsia="Times New Roman" w:cs="Times New Roman"/>
                <w:color w:val="auto"/>
                <w:sz w:val="22"/>
                <w:szCs w:val="22"/>
              </w:rPr>
            </w:pPr>
            <w:r w:rsidRPr="008C72B8">
              <w:rPr>
                <w:rFonts w:eastAsia="Times New Roman" w:cs="Times New Roman"/>
                <w:color w:val="auto"/>
                <w:sz w:val="22"/>
                <w:szCs w:val="22"/>
              </w:rPr>
              <w:t>- Cơ quan Trung ương của các đoàn thể;</w:t>
            </w:r>
          </w:p>
          <w:p w:rsidR="00045A80" w:rsidRPr="008C72B8" w:rsidRDefault="00045A80" w:rsidP="00B95A1B">
            <w:pPr>
              <w:ind w:firstLine="0"/>
              <w:rPr>
                <w:rFonts w:eastAsia="Times New Roman" w:cs="Times New Roman"/>
                <w:color w:val="auto"/>
                <w:sz w:val="22"/>
                <w:szCs w:val="22"/>
              </w:rPr>
            </w:pPr>
            <w:r w:rsidRPr="008C72B8">
              <w:rPr>
                <w:rFonts w:eastAsia="Times New Roman" w:cs="Times New Roman"/>
                <w:color w:val="auto"/>
                <w:sz w:val="22"/>
                <w:szCs w:val="22"/>
              </w:rPr>
              <w:t>- Các tập đoàn kinh tế, tổng công ty nhà nước;</w:t>
            </w:r>
          </w:p>
          <w:p w:rsidR="00045A80" w:rsidRPr="008C72B8" w:rsidRDefault="00045A80" w:rsidP="00B95A1B">
            <w:pPr>
              <w:ind w:firstLine="0"/>
              <w:rPr>
                <w:rFonts w:eastAsia="Times New Roman" w:cs="Times New Roman"/>
                <w:color w:val="auto"/>
                <w:sz w:val="22"/>
                <w:szCs w:val="22"/>
              </w:rPr>
            </w:pPr>
            <w:r w:rsidRPr="008C72B8">
              <w:rPr>
                <w:rFonts w:eastAsia="Times New Roman" w:cs="Times New Roman"/>
                <w:color w:val="auto"/>
                <w:sz w:val="22"/>
                <w:szCs w:val="22"/>
              </w:rPr>
              <w:t>- VPCP: BTCN, các PCN, Trợ lý TTg, TGĐ Cổng TTĐT,</w:t>
            </w:r>
          </w:p>
          <w:p w:rsidR="00045A80" w:rsidRPr="008C72B8" w:rsidRDefault="00045A80" w:rsidP="00B95A1B">
            <w:pPr>
              <w:ind w:firstLine="0"/>
              <w:rPr>
                <w:rFonts w:eastAsia="Times New Roman" w:cs="Times New Roman"/>
                <w:color w:val="auto"/>
                <w:sz w:val="22"/>
                <w:szCs w:val="22"/>
              </w:rPr>
            </w:pPr>
            <w:r w:rsidRPr="008C72B8">
              <w:rPr>
                <w:rFonts w:eastAsia="Times New Roman" w:cs="Times New Roman"/>
                <w:color w:val="auto"/>
                <w:sz w:val="22"/>
                <w:szCs w:val="22"/>
              </w:rPr>
              <w:t>các Vụ, Cục, đơn vị trực thuộc, Công báo;</w:t>
            </w:r>
          </w:p>
          <w:p w:rsidR="00045A80" w:rsidRPr="008C72B8" w:rsidRDefault="00045A80" w:rsidP="00B95A1B">
            <w:pPr>
              <w:ind w:firstLine="0"/>
              <w:rPr>
                <w:rFonts w:eastAsia="Times New Roman" w:cs="Times New Roman"/>
                <w:color w:val="auto"/>
                <w:sz w:val="22"/>
                <w:szCs w:val="22"/>
              </w:rPr>
            </w:pPr>
            <w:r w:rsidRPr="008C72B8">
              <w:rPr>
                <w:rFonts w:eastAsia="Times New Roman" w:cs="Times New Roman"/>
                <w:color w:val="auto"/>
                <w:sz w:val="22"/>
                <w:szCs w:val="22"/>
              </w:rPr>
              <w:t>- Lưu: VT, KGVX (2). XH</w:t>
            </w:r>
          </w:p>
        </w:tc>
        <w:tc>
          <w:tcPr>
            <w:tcW w:w="3685" w:type="dxa"/>
            <w:tcBorders>
              <w:top w:val="nil"/>
              <w:left w:val="nil"/>
              <w:bottom w:val="nil"/>
              <w:right w:val="nil"/>
              <w:tl2br w:val="nil"/>
              <w:tr2bl w:val="nil"/>
            </w:tcBorders>
            <w:shd w:val="clear" w:color="auto" w:fill="auto"/>
            <w:tcMar>
              <w:top w:w="0" w:type="dxa"/>
              <w:left w:w="108" w:type="dxa"/>
              <w:bottom w:w="0" w:type="dxa"/>
              <w:right w:w="108" w:type="dxa"/>
            </w:tcMar>
          </w:tcPr>
          <w:p w:rsidR="00045A80" w:rsidRPr="008C72B8" w:rsidRDefault="00045A80" w:rsidP="00B95A1B">
            <w:pPr>
              <w:ind w:firstLine="0"/>
              <w:jc w:val="center"/>
              <w:rPr>
                <w:rFonts w:eastAsia="Times New Roman" w:cs="Times New Roman"/>
                <w:b/>
                <w:bCs/>
                <w:color w:val="auto"/>
                <w:sz w:val="24"/>
                <w:szCs w:val="24"/>
              </w:rPr>
            </w:pPr>
            <w:r w:rsidRPr="008C72B8">
              <w:rPr>
                <w:rFonts w:eastAsia="Times New Roman" w:cs="Times New Roman"/>
                <w:b/>
                <w:bCs/>
                <w:color w:val="auto"/>
                <w:sz w:val="24"/>
                <w:szCs w:val="24"/>
                <w:lang w:val="vi-VN"/>
              </w:rPr>
              <w:t>TM. CHÍNH PHỦ</w:t>
            </w:r>
            <w:r w:rsidRPr="008C72B8">
              <w:rPr>
                <w:rFonts w:eastAsia="Times New Roman" w:cs="Times New Roman"/>
                <w:b/>
                <w:bCs/>
                <w:color w:val="auto"/>
                <w:sz w:val="24"/>
                <w:szCs w:val="24"/>
              </w:rPr>
              <w:br/>
              <w:t xml:space="preserve">THỦ </w:t>
            </w:r>
            <w:r w:rsidRPr="008C72B8">
              <w:rPr>
                <w:rFonts w:eastAsia="Times New Roman" w:cs="Times New Roman"/>
                <w:b/>
                <w:bCs/>
                <w:color w:val="auto"/>
                <w:sz w:val="24"/>
                <w:szCs w:val="24"/>
                <w:lang w:val="vi-VN"/>
              </w:rPr>
              <w:t>TƯỚNG</w:t>
            </w:r>
            <w:r w:rsidRPr="008C72B8">
              <w:rPr>
                <w:rFonts w:eastAsia="Times New Roman" w:cs="Times New Roman"/>
                <w:b/>
                <w:bCs/>
                <w:color w:val="auto"/>
                <w:sz w:val="24"/>
                <w:szCs w:val="24"/>
              </w:rPr>
              <w:br/>
            </w:r>
            <w:r w:rsidRPr="008C72B8">
              <w:rPr>
                <w:rFonts w:eastAsia="Times New Roman" w:cs="Times New Roman"/>
                <w:b/>
                <w:bCs/>
                <w:color w:val="auto"/>
                <w:sz w:val="24"/>
                <w:szCs w:val="24"/>
              </w:rPr>
              <w:br/>
            </w:r>
            <w:r w:rsidRPr="008C72B8">
              <w:rPr>
                <w:rFonts w:eastAsia="Times New Roman" w:cs="Times New Roman"/>
                <w:b/>
                <w:bCs/>
                <w:color w:val="auto"/>
                <w:sz w:val="24"/>
                <w:szCs w:val="24"/>
              </w:rPr>
              <w:br/>
            </w:r>
          </w:p>
          <w:p w:rsidR="00045A80" w:rsidRPr="008C72B8" w:rsidRDefault="00045A80" w:rsidP="00B95A1B">
            <w:pPr>
              <w:jc w:val="center"/>
              <w:rPr>
                <w:rFonts w:eastAsia="Times New Roman" w:cs="Times New Roman"/>
                <w:b/>
                <w:bCs/>
                <w:color w:val="auto"/>
                <w:sz w:val="24"/>
                <w:szCs w:val="24"/>
              </w:rPr>
            </w:pPr>
          </w:p>
          <w:p w:rsidR="00771809" w:rsidRDefault="00045A80" w:rsidP="00B95A1B">
            <w:pPr>
              <w:jc w:val="center"/>
              <w:rPr>
                <w:rFonts w:eastAsia="Times New Roman" w:cs="Times New Roman"/>
                <w:b/>
                <w:bCs/>
                <w:color w:val="auto"/>
                <w:sz w:val="24"/>
                <w:szCs w:val="24"/>
              </w:rPr>
            </w:pPr>
            <w:r w:rsidRPr="008C72B8">
              <w:rPr>
                <w:rFonts w:eastAsia="Times New Roman" w:cs="Times New Roman"/>
                <w:b/>
                <w:bCs/>
                <w:color w:val="auto"/>
                <w:sz w:val="24"/>
                <w:szCs w:val="24"/>
              </w:rPr>
              <w:br/>
            </w:r>
          </w:p>
          <w:p w:rsidR="00045A80" w:rsidRPr="008C72B8" w:rsidRDefault="00045A80" w:rsidP="00B95A1B">
            <w:pPr>
              <w:jc w:val="center"/>
              <w:rPr>
                <w:rFonts w:eastAsia="Times New Roman" w:cs="Times New Roman"/>
                <w:color w:val="auto"/>
              </w:rPr>
            </w:pPr>
            <w:r w:rsidRPr="008C72B8">
              <w:rPr>
                <w:rFonts w:eastAsia="Times New Roman" w:cs="Times New Roman"/>
                <w:b/>
                <w:bCs/>
                <w:color w:val="auto"/>
                <w:sz w:val="24"/>
                <w:szCs w:val="24"/>
              </w:rPr>
              <w:br/>
            </w:r>
            <w:r w:rsidRPr="008C72B8">
              <w:rPr>
                <w:rFonts w:eastAsia="Times New Roman" w:cs="Times New Roman"/>
                <w:b/>
                <w:bCs/>
                <w:color w:val="auto"/>
                <w:lang w:val="vi-VN"/>
              </w:rPr>
              <w:t>Nguyễn Xuân Phúc</w:t>
            </w:r>
          </w:p>
        </w:tc>
      </w:tr>
    </w:tbl>
    <w:p w:rsidR="00045A80" w:rsidRPr="008C72B8" w:rsidRDefault="00045A80" w:rsidP="00045A80">
      <w:pPr>
        <w:rPr>
          <w:color w:val="auto"/>
        </w:rPr>
      </w:pPr>
    </w:p>
    <w:p w:rsidR="00045A80" w:rsidRPr="008C72B8" w:rsidRDefault="00045A80" w:rsidP="00045A80">
      <w:pPr>
        <w:rPr>
          <w:rFonts w:eastAsia="Times New Roman" w:cs="Times New Roman"/>
          <w:b/>
          <w:bCs/>
          <w:color w:val="auto"/>
        </w:rPr>
      </w:pPr>
      <w:r w:rsidRPr="008C72B8">
        <w:rPr>
          <w:b/>
          <w:bCs/>
          <w:color w:val="auto"/>
        </w:rPr>
        <w:br w:type="page"/>
      </w:r>
    </w:p>
    <w:p w:rsidR="00045A80" w:rsidRPr="008C72B8" w:rsidRDefault="00045A80" w:rsidP="00045A80">
      <w:pPr>
        <w:pStyle w:val="NormalWeb"/>
        <w:spacing w:before="0" w:beforeAutospacing="0" w:after="0" w:afterAutospacing="0"/>
        <w:jc w:val="center"/>
        <w:rPr>
          <w:i/>
          <w:iCs/>
          <w:sz w:val="28"/>
          <w:szCs w:val="28"/>
        </w:rPr>
      </w:pPr>
      <w:r w:rsidRPr="008C72B8">
        <w:rPr>
          <w:b/>
          <w:bCs/>
          <w:sz w:val="28"/>
          <w:szCs w:val="28"/>
        </w:rPr>
        <w:lastRenderedPageBreak/>
        <w:t>DANH MỤC</w:t>
      </w:r>
      <w:r w:rsidRPr="008C72B8">
        <w:rPr>
          <w:b/>
          <w:bCs/>
          <w:sz w:val="28"/>
          <w:szCs w:val="28"/>
        </w:rPr>
        <w:br/>
      </w:r>
      <w:r w:rsidRPr="008C72B8">
        <w:rPr>
          <w:b/>
          <w:sz w:val="28"/>
          <w:szCs w:val="28"/>
        </w:rPr>
        <w:t>NƠI SỬ DỤNG LAO ĐỘNG KHÔNG ĐƯỢC ĐÌNH CÔNG</w:t>
      </w:r>
      <w:r w:rsidRPr="008C72B8">
        <w:rPr>
          <w:b/>
          <w:sz w:val="28"/>
          <w:szCs w:val="28"/>
        </w:rPr>
        <w:br/>
      </w:r>
      <w:r w:rsidRPr="008C72B8">
        <w:rPr>
          <w:i/>
          <w:iCs/>
          <w:sz w:val="28"/>
          <w:szCs w:val="28"/>
        </w:rPr>
        <w:t>(Ban hành kèm theo Nghị định số      /2020/NĐ-CP</w:t>
      </w:r>
      <w:r w:rsidRPr="008C72B8">
        <w:rPr>
          <w:i/>
          <w:iCs/>
          <w:sz w:val="28"/>
          <w:szCs w:val="28"/>
        </w:rPr>
        <w:br/>
        <w:t>ngày      tháng    năm 2020 của Chính phủ)</w:t>
      </w:r>
    </w:p>
    <w:p w:rsidR="00045A80" w:rsidRPr="008C72B8" w:rsidRDefault="00B04049" w:rsidP="00045A80">
      <w:pPr>
        <w:pStyle w:val="NormalWeb"/>
        <w:spacing w:before="0" w:beforeAutospacing="0" w:after="0" w:afterAutospacing="0"/>
        <w:jc w:val="center"/>
        <w:rPr>
          <w:sz w:val="28"/>
          <w:szCs w:val="28"/>
        </w:rPr>
      </w:pPr>
      <w:r>
        <w:rPr>
          <w:noProof/>
          <w:sz w:val="28"/>
          <w:szCs w:val="28"/>
        </w:rPr>
        <mc:AlternateContent>
          <mc:Choice Requires="wps">
            <w:drawing>
              <wp:anchor distT="0" distB="0" distL="114300" distR="114300" simplePos="0" relativeHeight="251659776" behindDoc="0" locked="0" layoutInCell="1" allowOverlap="1">
                <wp:simplePos x="0" y="0"/>
                <wp:positionH relativeFrom="column">
                  <wp:posOffset>2015490</wp:posOffset>
                </wp:positionH>
                <wp:positionV relativeFrom="paragraph">
                  <wp:posOffset>72390</wp:posOffset>
                </wp:positionV>
                <wp:extent cx="1752600" cy="0"/>
                <wp:effectExtent l="5715" t="5715" r="13335" b="1333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58.7pt;margin-top:5.7pt;width:138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eHBHQ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"/>
            </w:pict>
          </mc:Fallback>
        </mc:AlternateContent>
      </w:r>
    </w:p>
    <w:p w:rsidR="00045A80" w:rsidRPr="008C72B8" w:rsidRDefault="00045A80" w:rsidP="00045A80">
      <w:pPr>
        <w:pStyle w:val="NormalWeb"/>
        <w:spacing w:before="0" w:beforeAutospacing="0" w:after="0" w:afterAutospacing="0"/>
        <w:jc w:val="center"/>
        <w:rPr>
          <w:sz w:val="28"/>
          <w:szCs w:val="28"/>
        </w:rPr>
      </w:pPr>
    </w:p>
    <w:p w:rsidR="00045A80" w:rsidRPr="008C72B8" w:rsidRDefault="00045A80" w:rsidP="00045A80">
      <w:pPr>
        <w:spacing w:after="120"/>
        <w:rPr>
          <w:rFonts w:cs="Times New Roman"/>
          <w:color w:val="auto"/>
        </w:rPr>
      </w:pPr>
      <w:r w:rsidRPr="008C72B8">
        <w:rPr>
          <w:rFonts w:cs="Times New Roman"/>
          <w:b/>
          <w:color w:val="auto"/>
        </w:rPr>
        <w:t>I. Sản xuất, truyền tải, điều độ hệ thống điện</w:t>
      </w:r>
    </w:p>
    <w:p w:rsidR="00045A80" w:rsidRPr="008C72B8" w:rsidRDefault="00045A80" w:rsidP="006D7EE5">
      <w:pPr>
        <w:pStyle w:val="NormalWeb"/>
        <w:spacing w:before="0" w:beforeAutospacing="0" w:after="120" w:afterAutospacing="0"/>
        <w:ind w:firstLine="720"/>
        <w:jc w:val="both"/>
      </w:pPr>
      <w:r w:rsidRPr="008C72B8">
        <w:rPr>
          <w:sz w:val="28"/>
          <w:szCs w:val="28"/>
        </w:rPr>
        <w:t xml:space="preserve">1. </w:t>
      </w:r>
      <w:r w:rsidR="006D7EE5">
        <w:rPr>
          <w:sz w:val="28"/>
          <w:szCs w:val="28"/>
        </w:rPr>
        <w:t>03 đ</w:t>
      </w:r>
      <w:r w:rsidRPr="000B7432">
        <w:rPr>
          <w:sz w:val="28"/>
          <w:szCs w:val="28"/>
        </w:rPr>
        <w:t>ơn vị thuộc</w:t>
      </w:r>
      <w:r w:rsidRPr="008C72B8">
        <w:rPr>
          <w:sz w:val="28"/>
          <w:szCs w:val="28"/>
        </w:rPr>
        <w:t xml:space="preserve"> Công ty </w:t>
      </w:r>
      <w:r w:rsidR="006D7EE5">
        <w:rPr>
          <w:sz w:val="28"/>
          <w:szCs w:val="28"/>
        </w:rPr>
        <w:t xml:space="preserve">mẹ - Tập đoàn Điện lực Việt Nam, gồm: </w:t>
      </w:r>
      <w:r w:rsidRPr="008C72B8">
        <w:rPr>
          <w:sz w:val="28"/>
          <w:szCs w:val="28"/>
        </w:rPr>
        <w:t>Công ty Thuỷ điện Hoà Bình;</w:t>
      </w:r>
      <w:r w:rsidR="006D7EE5">
        <w:rPr>
          <w:sz w:val="28"/>
          <w:szCs w:val="28"/>
        </w:rPr>
        <w:t xml:space="preserve"> </w:t>
      </w:r>
      <w:r w:rsidRPr="008C72B8">
        <w:rPr>
          <w:sz w:val="28"/>
          <w:szCs w:val="28"/>
        </w:rPr>
        <w:t>Công ty Thủy điện Sơn La;</w:t>
      </w:r>
      <w:r w:rsidR="006D7EE5">
        <w:rPr>
          <w:sz w:val="28"/>
          <w:szCs w:val="28"/>
        </w:rPr>
        <w:t xml:space="preserve"> </w:t>
      </w:r>
      <w:r w:rsidRPr="006D7EE5">
        <w:rPr>
          <w:sz w:val="28"/>
          <w:szCs w:val="28"/>
        </w:rPr>
        <w:t>Trung tâm Điều độ hệ thống điện quốc gia.</w:t>
      </w:r>
    </w:p>
    <w:p w:rsidR="00045A80" w:rsidRPr="008C72B8" w:rsidRDefault="00045A80" w:rsidP="00045A80">
      <w:pPr>
        <w:pStyle w:val="NormalWeb"/>
        <w:spacing w:before="0" w:beforeAutospacing="0" w:after="120" w:afterAutospacing="0"/>
        <w:ind w:firstLine="720"/>
        <w:jc w:val="both"/>
        <w:rPr>
          <w:sz w:val="28"/>
          <w:szCs w:val="28"/>
        </w:rPr>
      </w:pPr>
      <w:r w:rsidRPr="008C72B8">
        <w:rPr>
          <w:sz w:val="28"/>
          <w:szCs w:val="28"/>
        </w:rPr>
        <w:t>2. Công ty Nhiệt điện Duyên Hải thuộc Tổng Công ty Phát điện 1.</w:t>
      </w:r>
    </w:p>
    <w:p w:rsidR="00045A80" w:rsidRPr="008C72B8" w:rsidRDefault="00045A80" w:rsidP="00045A80">
      <w:pPr>
        <w:pStyle w:val="NormalWeb"/>
        <w:spacing w:before="0" w:beforeAutospacing="0" w:after="120" w:afterAutospacing="0"/>
        <w:ind w:firstLine="720"/>
        <w:jc w:val="both"/>
        <w:rPr>
          <w:sz w:val="28"/>
          <w:szCs w:val="28"/>
        </w:rPr>
      </w:pPr>
      <w:r w:rsidRPr="008C72B8">
        <w:rPr>
          <w:sz w:val="28"/>
          <w:szCs w:val="28"/>
        </w:rPr>
        <w:t>3. Công ty Nhiệt điện Phú Mỹ</w:t>
      </w:r>
      <w:r w:rsidR="006D7EE5">
        <w:rPr>
          <w:sz w:val="28"/>
          <w:szCs w:val="28"/>
        </w:rPr>
        <w:t xml:space="preserve"> thuộc Tổng Công ty Phát điện 3.</w:t>
      </w:r>
    </w:p>
    <w:p w:rsidR="00045A80" w:rsidRPr="000B7432" w:rsidRDefault="00045A80" w:rsidP="00045A80">
      <w:pPr>
        <w:pStyle w:val="NormalWeb"/>
        <w:spacing w:before="0" w:beforeAutospacing="0" w:after="120" w:afterAutospacing="0"/>
        <w:ind w:firstLine="720"/>
        <w:jc w:val="both"/>
        <w:rPr>
          <w:spacing w:val="-2"/>
          <w:sz w:val="28"/>
          <w:szCs w:val="28"/>
        </w:rPr>
      </w:pPr>
      <w:r w:rsidRPr="000B7432">
        <w:rPr>
          <w:spacing w:val="-2"/>
          <w:sz w:val="28"/>
          <w:szCs w:val="28"/>
        </w:rPr>
        <w:t>4. Các Công ty truyền tải điện thuộc Tổng công ty Truyền tải điện quốc gia.</w:t>
      </w:r>
    </w:p>
    <w:p w:rsidR="00045A80" w:rsidRPr="008C72B8" w:rsidRDefault="00045A80" w:rsidP="00045A80">
      <w:pPr>
        <w:spacing w:after="120"/>
        <w:rPr>
          <w:rFonts w:cs="Times New Roman"/>
          <w:color w:val="auto"/>
        </w:rPr>
      </w:pPr>
      <w:r w:rsidRPr="008C72B8">
        <w:rPr>
          <w:rFonts w:cs="Times New Roman"/>
          <w:b/>
          <w:color w:val="auto"/>
        </w:rPr>
        <w:t>II. Thăm dò, khai thác, sản xuất, cung cấp dầu khí</w:t>
      </w:r>
    </w:p>
    <w:p w:rsidR="00045A80" w:rsidRPr="008C72B8" w:rsidRDefault="00045A80" w:rsidP="00045A80">
      <w:pPr>
        <w:pStyle w:val="NormalWeb"/>
        <w:spacing w:before="0" w:beforeAutospacing="0" w:after="120" w:afterAutospacing="0"/>
        <w:ind w:firstLine="720"/>
        <w:jc w:val="both"/>
        <w:rPr>
          <w:sz w:val="28"/>
          <w:szCs w:val="28"/>
        </w:rPr>
      </w:pPr>
      <w:r w:rsidRPr="008C72B8">
        <w:rPr>
          <w:sz w:val="28"/>
          <w:szCs w:val="28"/>
        </w:rPr>
        <w:t xml:space="preserve">1. Công </w:t>
      </w:r>
      <w:r w:rsidR="006D7EE5">
        <w:rPr>
          <w:sz w:val="28"/>
          <w:szCs w:val="28"/>
        </w:rPr>
        <w:t xml:space="preserve">ty Điều hành đường ống Tây Nam </w:t>
      </w:r>
      <w:r w:rsidRPr="008C72B8">
        <w:rPr>
          <w:sz w:val="28"/>
          <w:szCs w:val="28"/>
        </w:rPr>
        <w:t>thuộc Công ty mẹ - Tập đoàn Dầu khí Việt Nam.</w:t>
      </w:r>
    </w:p>
    <w:p w:rsidR="00045A80" w:rsidRPr="008C72B8" w:rsidRDefault="00045A80" w:rsidP="00045A80">
      <w:pPr>
        <w:pStyle w:val="NormalWeb"/>
        <w:spacing w:before="0" w:beforeAutospacing="0" w:after="120" w:afterAutospacing="0"/>
        <w:ind w:firstLine="720"/>
        <w:jc w:val="both"/>
        <w:rPr>
          <w:sz w:val="28"/>
          <w:szCs w:val="28"/>
        </w:rPr>
      </w:pPr>
      <w:r w:rsidRPr="008C72B8">
        <w:rPr>
          <w:sz w:val="28"/>
          <w:szCs w:val="28"/>
        </w:rPr>
        <w:t>2</w:t>
      </w:r>
      <w:r w:rsidRPr="000B7432">
        <w:rPr>
          <w:sz w:val="28"/>
          <w:szCs w:val="28"/>
        </w:rPr>
        <w:t xml:space="preserve">. </w:t>
      </w:r>
      <w:r w:rsidR="006D7EE5">
        <w:rPr>
          <w:sz w:val="28"/>
          <w:szCs w:val="28"/>
        </w:rPr>
        <w:t xml:space="preserve">02 </w:t>
      </w:r>
      <w:r w:rsidRPr="000B7432">
        <w:rPr>
          <w:sz w:val="28"/>
          <w:szCs w:val="28"/>
        </w:rPr>
        <w:t>đơn vị thuộc</w:t>
      </w:r>
      <w:r w:rsidRPr="008C72B8">
        <w:rPr>
          <w:sz w:val="28"/>
          <w:szCs w:val="28"/>
        </w:rPr>
        <w:t xml:space="preserve"> Tổng công </w:t>
      </w:r>
      <w:r w:rsidR="006D7EE5">
        <w:rPr>
          <w:sz w:val="28"/>
          <w:szCs w:val="28"/>
        </w:rPr>
        <w:t xml:space="preserve">ty Thăm dò và Khai thác dầu khí, gồm: </w:t>
      </w:r>
      <w:r w:rsidRPr="008C72B8">
        <w:rPr>
          <w:sz w:val="28"/>
          <w:szCs w:val="28"/>
        </w:rPr>
        <w:t>Công ty điều hành Thăm dò khai thác Dầu khí trong nước;</w:t>
      </w:r>
      <w:r w:rsidR="006D7EE5">
        <w:rPr>
          <w:sz w:val="28"/>
          <w:szCs w:val="28"/>
        </w:rPr>
        <w:t xml:space="preserve"> </w:t>
      </w:r>
      <w:r w:rsidRPr="008C72B8">
        <w:rPr>
          <w:sz w:val="28"/>
          <w:szCs w:val="28"/>
        </w:rPr>
        <w:t>Công ty liên doanh điều hành Vietgazprom.</w:t>
      </w:r>
    </w:p>
    <w:p w:rsidR="00045A80" w:rsidRPr="006D7EE5" w:rsidRDefault="00045A80" w:rsidP="006D7EE5">
      <w:pPr>
        <w:pStyle w:val="NormalWeb"/>
        <w:spacing w:before="0" w:beforeAutospacing="0" w:after="120" w:afterAutospacing="0"/>
        <w:ind w:firstLine="720"/>
        <w:jc w:val="both"/>
        <w:rPr>
          <w:sz w:val="28"/>
          <w:szCs w:val="28"/>
        </w:rPr>
      </w:pPr>
      <w:r w:rsidRPr="006D7EE5">
        <w:rPr>
          <w:sz w:val="28"/>
          <w:szCs w:val="28"/>
        </w:rPr>
        <w:t xml:space="preserve">3. </w:t>
      </w:r>
      <w:r w:rsidR="006D7EE5" w:rsidRPr="006D7EE5">
        <w:rPr>
          <w:sz w:val="28"/>
          <w:szCs w:val="28"/>
        </w:rPr>
        <w:t>08</w:t>
      </w:r>
      <w:r w:rsidRPr="006D7EE5">
        <w:rPr>
          <w:sz w:val="28"/>
          <w:szCs w:val="28"/>
        </w:rPr>
        <w:t xml:space="preserve"> đơn </w:t>
      </w:r>
      <w:r w:rsidRPr="009742DF">
        <w:rPr>
          <w:sz w:val="28"/>
          <w:szCs w:val="28"/>
        </w:rPr>
        <w:t>vị</w:t>
      </w:r>
      <w:r w:rsidRPr="006D7EE5">
        <w:rPr>
          <w:i/>
          <w:sz w:val="28"/>
          <w:szCs w:val="28"/>
        </w:rPr>
        <w:t xml:space="preserve"> </w:t>
      </w:r>
      <w:r w:rsidRPr="006D7EE5">
        <w:rPr>
          <w:sz w:val="28"/>
          <w:szCs w:val="28"/>
        </w:rPr>
        <w:t>thuộc Tổng công ty Khí Việt Nam</w:t>
      </w:r>
      <w:r w:rsidR="006D7EE5" w:rsidRPr="006D7EE5">
        <w:rPr>
          <w:sz w:val="28"/>
          <w:szCs w:val="28"/>
        </w:rPr>
        <w:t>, gồm:</w:t>
      </w:r>
      <w:r w:rsidRPr="006D7EE5">
        <w:rPr>
          <w:sz w:val="28"/>
          <w:szCs w:val="28"/>
        </w:rPr>
        <w:t xml:space="preserve"> Công ty Chế biến khí Vũng Tàu;</w:t>
      </w:r>
      <w:r w:rsidR="006D7EE5" w:rsidRPr="006D7EE5">
        <w:rPr>
          <w:sz w:val="28"/>
          <w:szCs w:val="28"/>
        </w:rPr>
        <w:t xml:space="preserve"> </w:t>
      </w:r>
      <w:r w:rsidRPr="006D7EE5">
        <w:rPr>
          <w:sz w:val="28"/>
          <w:szCs w:val="28"/>
        </w:rPr>
        <w:t>Công ty Vận chuyển khí Đông Nam Bộ;</w:t>
      </w:r>
      <w:r w:rsidR="006D7EE5" w:rsidRPr="006D7EE5">
        <w:rPr>
          <w:sz w:val="28"/>
          <w:szCs w:val="28"/>
        </w:rPr>
        <w:t xml:space="preserve"> </w:t>
      </w:r>
      <w:r w:rsidRPr="006D7EE5">
        <w:rPr>
          <w:sz w:val="28"/>
          <w:szCs w:val="28"/>
        </w:rPr>
        <w:t>Công ty kinh doanh sản phẩm khí;</w:t>
      </w:r>
      <w:r w:rsidR="006D7EE5" w:rsidRPr="006D7EE5">
        <w:rPr>
          <w:sz w:val="28"/>
          <w:szCs w:val="28"/>
        </w:rPr>
        <w:t xml:space="preserve"> </w:t>
      </w:r>
      <w:r w:rsidRPr="006D7EE5">
        <w:rPr>
          <w:sz w:val="28"/>
          <w:szCs w:val="28"/>
        </w:rPr>
        <w:t>Công ty khí Cà Mau;</w:t>
      </w:r>
      <w:r w:rsidR="006D7EE5" w:rsidRPr="006D7EE5">
        <w:rPr>
          <w:sz w:val="28"/>
          <w:szCs w:val="28"/>
        </w:rPr>
        <w:t xml:space="preserve"> </w:t>
      </w:r>
      <w:r w:rsidRPr="006D7EE5">
        <w:rPr>
          <w:sz w:val="28"/>
          <w:szCs w:val="28"/>
        </w:rPr>
        <w:t>Công ty đường ống khí Nam Côn Sơn;</w:t>
      </w:r>
      <w:r w:rsidR="006D7EE5" w:rsidRPr="006D7EE5">
        <w:rPr>
          <w:sz w:val="28"/>
          <w:szCs w:val="28"/>
        </w:rPr>
        <w:t xml:space="preserve"> </w:t>
      </w:r>
      <w:r w:rsidRPr="006D7EE5">
        <w:rPr>
          <w:sz w:val="28"/>
          <w:szCs w:val="28"/>
        </w:rPr>
        <w:t>Công ty cổ phần LPG Việt Nam;</w:t>
      </w:r>
      <w:r w:rsidR="006D7EE5" w:rsidRPr="006D7EE5">
        <w:rPr>
          <w:sz w:val="28"/>
          <w:szCs w:val="28"/>
        </w:rPr>
        <w:t xml:space="preserve"> </w:t>
      </w:r>
      <w:r w:rsidRPr="006D7EE5">
        <w:rPr>
          <w:sz w:val="28"/>
          <w:szCs w:val="28"/>
        </w:rPr>
        <w:t>Công ty cổ phần kinh doanh khí Miền Nam;</w:t>
      </w:r>
      <w:r w:rsidR="006D7EE5" w:rsidRPr="006D7EE5">
        <w:rPr>
          <w:sz w:val="28"/>
          <w:szCs w:val="28"/>
        </w:rPr>
        <w:t xml:space="preserve"> </w:t>
      </w:r>
      <w:r w:rsidRPr="006D7EE5">
        <w:rPr>
          <w:sz w:val="28"/>
          <w:szCs w:val="28"/>
        </w:rPr>
        <w:t>Công ty cổ phần Phân phối khí thấp áp Dầu khí Việt Nam.</w:t>
      </w:r>
    </w:p>
    <w:p w:rsidR="00045A80" w:rsidRPr="008C72B8" w:rsidRDefault="00045A80" w:rsidP="00045A80">
      <w:pPr>
        <w:spacing w:after="120"/>
        <w:rPr>
          <w:rFonts w:cs="Times New Roman"/>
          <w:color w:val="auto"/>
        </w:rPr>
      </w:pPr>
      <w:r w:rsidRPr="008C72B8">
        <w:rPr>
          <w:rFonts w:cs="Times New Roman"/>
          <w:color w:val="auto"/>
        </w:rPr>
        <w:t>4. Liên doanh Việt – Nga Vietsopetro.</w:t>
      </w:r>
    </w:p>
    <w:p w:rsidR="00045A80" w:rsidRPr="008C72B8" w:rsidRDefault="00045A80" w:rsidP="00045A80">
      <w:pPr>
        <w:spacing w:after="120"/>
        <w:rPr>
          <w:rFonts w:cs="Times New Roman"/>
          <w:color w:val="auto"/>
        </w:rPr>
      </w:pPr>
      <w:r w:rsidRPr="008C72B8">
        <w:rPr>
          <w:rFonts w:cs="Times New Roman"/>
          <w:b/>
          <w:color w:val="auto"/>
        </w:rPr>
        <w:t>III. Bảo đảm an toàn hàng không, an toàn hàng hải</w:t>
      </w:r>
    </w:p>
    <w:p w:rsidR="00045A80" w:rsidRPr="008C72B8" w:rsidRDefault="00045A80" w:rsidP="00045A80">
      <w:pPr>
        <w:spacing w:after="120"/>
        <w:rPr>
          <w:rFonts w:cs="Times New Roman"/>
          <w:color w:val="auto"/>
        </w:rPr>
      </w:pPr>
      <w:r w:rsidRPr="008C72B8">
        <w:rPr>
          <w:rFonts w:cs="Times New Roman"/>
          <w:color w:val="auto"/>
        </w:rPr>
        <w:t>1. Các cơ sở cung cấp dịch vụ bảo đảm hoạt động bay thuộc Tổng công ty Quản lý bay Việt Nam.</w:t>
      </w:r>
    </w:p>
    <w:p w:rsidR="00045A80" w:rsidRPr="008C72B8" w:rsidRDefault="00045A80" w:rsidP="00045A80">
      <w:pPr>
        <w:pStyle w:val="NormalWeb"/>
        <w:spacing w:before="0" w:beforeAutospacing="0" w:after="120" w:afterAutospacing="0"/>
        <w:ind w:firstLine="720"/>
        <w:jc w:val="both"/>
        <w:rPr>
          <w:sz w:val="28"/>
          <w:szCs w:val="28"/>
        </w:rPr>
      </w:pPr>
      <w:r w:rsidRPr="008C72B8">
        <w:rPr>
          <w:sz w:val="28"/>
          <w:szCs w:val="28"/>
        </w:rPr>
        <w:t>2. Các cảng hàng không</w:t>
      </w:r>
      <w:r w:rsidR="006D7EE5">
        <w:rPr>
          <w:sz w:val="28"/>
          <w:szCs w:val="28"/>
        </w:rPr>
        <w:t xml:space="preserve"> </w:t>
      </w:r>
      <w:r w:rsidR="006D7EE5" w:rsidRPr="008C72B8">
        <w:rPr>
          <w:sz w:val="28"/>
          <w:szCs w:val="28"/>
        </w:rPr>
        <w:t>thuộc Tổng công ty Cảng hàng không Việt Nam</w:t>
      </w:r>
      <w:r w:rsidR="006D7EE5">
        <w:rPr>
          <w:sz w:val="28"/>
          <w:szCs w:val="28"/>
        </w:rPr>
        <w:t>, gồm</w:t>
      </w:r>
      <w:r w:rsidRPr="008C72B8">
        <w:rPr>
          <w:sz w:val="28"/>
          <w:szCs w:val="28"/>
        </w:rPr>
        <w:t>: Nội Bài, Tân Sơn Nhất, Đà Nẵng, Cam Ranh, Cần Thơ.</w:t>
      </w:r>
    </w:p>
    <w:p w:rsidR="00045A80" w:rsidRPr="008C72B8" w:rsidRDefault="00045A80" w:rsidP="00045A80">
      <w:pPr>
        <w:pStyle w:val="NormalWeb"/>
        <w:spacing w:before="0" w:beforeAutospacing="0" w:after="120" w:afterAutospacing="0"/>
        <w:ind w:firstLine="720"/>
        <w:jc w:val="both"/>
        <w:rPr>
          <w:sz w:val="28"/>
          <w:szCs w:val="28"/>
        </w:rPr>
      </w:pPr>
      <w:r w:rsidRPr="008C72B8">
        <w:rPr>
          <w:sz w:val="28"/>
          <w:szCs w:val="28"/>
        </w:rPr>
        <w:t>3. Tổng công ty Bảo đảm an toàn hàng hải miền Bắc.</w:t>
      </w:r>
    </w:p>
    <w:p w:rsidR="00045A80" w:rsidRPr="008C72B8" w:rsidRDefault="00045A80" w:rsidP="00045A80">
      <w:pPr>
        <w:pStyle w:val="NormalWeb"/>
        <w:spacing w:before="0" w:beforeAutospacing="0" w:after="120" w:afterAutospacing="0"/>
        <w:ind w:firstLine="720"/>
        <w:jc w:val="both"/>
        <w:rPr>
          <w:sz w:val="28"/>
          <w:szCs w:val="28"/>
        </w:rPr>
      </w:pPr>
      <w:r w:rsidRPr="008C72B8">
        <w:rPr>
          <w:sz w:val="28"/>
          <w:szCs w:val="28"/>
        </w:rPr>
        <w:t>4. Tổng công ty Bảo đảm an toàn hàng hải miền Nam.</w:t>
      </w:r>
    </w:p>
    <w:p w:rsidR="00045A80" w:rsidRPr="008C72B8" w:rsidRDefault="00045A80" w:rsidP="00045A80">
      <w:pPr>
        <w:pStyle w:val="NormalWeb"/>
        <w:spacing w:before="0" w:beforeAutospacing="0" w:after="120" w:afterAutospacing="0"/>
        <w:ind w:firstLine="720"/>
        <w:jc w:val="both"/>
        <w:rPr>
          <w:sz w:val="28"/>
          <w:szCs w:val="28"/>
        </w:rPr>
      </w:pPr>
      <w:r w:rsidRPr="008C72B8">
        <w:rPr>
          <w:sz w:val="28"/>
          <w:szCs w:val="28"/>
        </w:rPr>
        <w:t>5. Công ty trách nhiệm hữu hạn một thành viên Hoa tiêu hàng hải TKV.</w:t>
      </w:r>
    </w:p>
    <w:p w:rsidR="00045A80" w:rsidRPr="008C72B8" w:rsidRDefault="00045A80" w:rsidP="00045A80">
      <w:pPr>
        <w:pStyle w:val="NormalWeb"/>
        <w:spacing w:before="0" w:beforeAutospacing="0" w:after="120" w:afterAutospacing="0"/>
        <w:ind w:firstLine="720"/>
        <w:jc w:val="both"/>
        <w:rPr>
          <w:sz w:val="28"/>
          <w:szCs w:val="28"/>
        </w:rPr>
      </w:pPr>
      <w:r w:rsidRPr="008C72B8">
        <w:rPr>
          <w:sz w:val="28"/>
          <w:szCs w:val="28"/>
        </w:rPr>
        <w:t>6. Công ty trách nhiệm hữu hạn một thành viên Thông tin điện tử hàng hải Việt Nam.</w:t>
      </w:r>
    </w:p>
    <w:p w:rsidR="00045A80" w:rsidRPr="000B7432" w:rsidRDefault="00045A80" w:rsidP="00045A80">
      <w:pPr>
        <w:pStyle w:val="NormalWeb"/>
        <w:spacing w:before="0" w:beforeAutospacing="0" w:after="120" w:afterAutospacing="0"/>
        <w:ind w:firstLine="720"/>
        <w:jc w:val="both"/>
        <w:rPr>
          <w:b/>
          <w:sz w:val="28"/>
          <w:szCs w:val="28"/>
        </w:rPr>
      </w:pPr>
      <w:r w:rsidRPr="000B7432">
        <w:rPr>
          <w:b/>
          <w:sz w:val="28"/>
          <w:szCs w:val="28"/>
        </w:rPr>
        <w:t>IV. Cung cấp hạ tầng thông tin và truyền thông; cung cấp dịch vụ bưu chính phục vụ cơ quan Đảng, Nhà nước</w:t>
      </w:r>
    </w:p>
    <w:p w:rsidR="00045A80" w:rsidRPr="008C72B8" w:rsidRDefault="00045A80" w:rsidP="00045A80">
      <w:pPr>
        <w:pStyle w:val="NormalWeb"/>
        <w:spacing w:before="0" w:beforeAutospacing="0" w:after="120" w:afterAutospacing="0"/>
        <w:ind w:firstLine="720"/>
        <w:jc w:val="both"/>
        <w:rPr>
          <w:sz w:val="28"/>
          <w:szCs w:val="28"/>
        </w:rPr>
      </w:pPr>
      <w:r w:rsidRPr="008C72B8">
        <w:rPr>
          <w:sz w:val="28"/>
          <w:szCs w:val="28"/>
        </w:rPr>
        <w:lastRenderedPageBreak/>
        <w:t>1. Tổng Công ty Hạ tầng mạng thuộc Tập đoàn Bưu chính Viễn thông Việt Nam.</w:t>
      </w:r>
    </w:p>
    <w:p w:rsidR="00045A80" w:rsidRDefault="00045A80" w:rsidP="00045A80">
      <w:pPr>
        <w:spacing w:after="120"/>
        <w:rPr>
          <w:rFonts w:cs="Times New Roman"/>
          <w:color w:val="auto"/>
        </w:rPr>
      </w:pPr>
      <w:r w:rsidRPr="008C72B8">
        <w:rPr>
          <w:rFonts w:cs="Times New Roman"/>
          <w:color w:val="auto"/>
        </w:rPr>
        <w:t>2. Tổng Công ty Mạng lưới Viettel thuộc Tập đoàn Công nghiệp – Viễn thông Quân đội.</w:t>
      </w:r>
    </w:p>
    <w:p w:rsidR="006D7EE5" w:rsidRPr="008C72B8" w:rsidRDefault="006D7EE5" w:rsidP="00045A80">
      <w:pPr>
        <w:spacing w:after="120"/>
        <w:rPr>
          <w:rFonts w:cs="Times New Roman"/>
          <w:color w:val="auto"/>
        </w:rPr>
      </w:pPr>
      <w:r>
        <w:rPr>
          <w:rFonts w:cs="Times New Roman"/>
          <w:color w:val="auto"/>
        </w:rPr>
        <w:t>3. Cục Bưu điện Trung ương thuộc Bộ Thông tin và Truyền thông.</w:t>
      </w:r>
    </w:p>
    <w:p w:rsidR="00045A80" w:rsidRPr="008C72B8" w:rsidRDefault="00045A80" w:rsidP="00045A80">
      <w:pPr>
        <w:pStyle w:val="NormalWeb"/>
        <w:spacing w:before="0" w:beforeAutospacing="0" w:after="120" w:afterAutospacing="0"/>
        <w:ind w:firstLine="720"/>
        <w:jc w:val="both"/>
        <w:rPr>
          <w:b/>
          <w:sz w:val="28"/>
          <w:szCs w:val="28"/>
        </w:rPr>
      </w:pPr>
      <w:r w:rsidRPr="008C72B8">
        <w:rPr>
          <w:b/>
          <w:sz w:val="28"/>
          <w:szCs w:val="28"/>
        </w:rPr>
        <w:t>V. Các doanh nghiệp cung cấp nước sạch, thoát nước, vệ sinh môi trường trực tiếp phục vụ cho các thành phố trực thuộc Trung ương.</w:t>
      </w:r>
    </w:p>
    <w:p w:rsidR="00045A80" w:rsidRPr="008C72B8" w:rsidRDefault="00045A80" w:rsidP="00045A80">
      <w:pPr>
        <w:pStyle w:val="NormalWeb"/>
        <w:spacing w:before="0" w:beforeAutospacing="0" w:after="120" w:afterAutospacing="0"/>
        <w:ind w:firstLine="720"/>
        <w:jc w:val="both"/>
        <w:rPr>
          <w:b/>
          <w:sz w:val="28"/>
          <w:szCs w:val="28"/>
        </w:rPr>
      </w:pPr>
      <w:r w:rsidRPr="008C72B8">
        <w:rPr>
          <w:b/>
          <w:sz w:val="28"/>
          <w:szCs w:val="28"/>
        </w:rPr>
        <w:t>VI. Trực tiếp phục vụ quốc phòng, an ninh</w:t>
      </w:r>
    </w:p>
    <w:p w:rsidR="00045A80" w:rsidRPr="008C72B8" w:rsidRDefault="00045A80" w:rsidP="00045A80">
      <w:pPr>
        <w:pStyle w:val="NormalWeb"/>
        <w:spacing w:before="0" w:beforeAutospacing="0" w:after="120" w:afterAutospacing="0"/>
        <w:ind w:firstLine="720"/>
        <w:jc w:val="both"/>
        <w:rPr>
          <w:sz w:val="28"/>
          <w:szCs w:val="28"/>
        </w:rPr>
      </w:pPr>
      <w:r w:rsidRPr="008C72B8">
        <w:rPr>
          <w:sz w:val="28"/>
          <w:szCs w:val="28"/>
        </w:rPr>
        <w:t>Các doanh nghiệp quốc phòng, an ninh theo quy định tại Nghị định số 93/2015/NĐ-CP ngày15 tháng 10 năm 2015 của Chính phủ về tổ chức quản lý và hoạt động của doanh nghiệp quốc phòng, an ninh./.</w:t>
      </w:r>
    </w:p>
    <w:p w:rsidR="00045A80" w:rsidRPr="008C72B8" w:rsidRDefault="00045A80" w:rsidP="00045A80">
      <w:pPr>
        <w:rPr>
          <w:color w:val="auto"/>
        </w:rPr>
      </w:pPr>
    </w:p>
    <w:p w:rsidR="00045A80" w:rsidRPr="008C72B8" w:rsidRDefault="00045A80" w:rsidP="00045A80">
      <w:pPr>
        <w:rPr>
          <w:color w:val="auto"/>
        </w:rPr>
      </w:pPr>
    </w:p>
    <w:p w:rsidR="00045A80" w:rsidRPr="008C72B8" w:rsidRDefault="00045A80" w:rsidP="00045A80">
      <w:pPr>
        <w:rPr>
          <w:color w:val="auto"/>
        </w:rPr>
      </w:pPr>
    </w:p>
    <w:p w:rsidR="00045A80" w:rsidRPr="008C72B8" w:rsidRDefault="00045A80" w:rsidP="00045A80">
      <w:pPr>
        <w:rPr>
          <w:color w:val="auto"/>
        </w:rPr>
      </w:pPr>
    </w:p>
    <w:p w:rsidR="00045A80" w:rsidRPr="008C72B8" w:rsidRDefault="00045A80" w:rsidP="00045A80">
      <w:pPr>
        <w:rPr>
          <w:color w:val="auto"/>
        </w:rPr>
      </w:pPr>
    </w:p>
    <w:p w:rsidR="00045A80" w:rsidRPr="008C72B8" w:rsidRDefault="00045A80" w:rsidP="00045A80">
      <w:pPr>
        <w:rPr>
          <w:color w:val="auto"/>
        </w:rPr>
      </w:pPr>
    </w:p>
    <w:p w:rsidR="00045A80" w:rsidRPr="008C72B8" w:rsidRDefault="00045A80" w:rsidP="00045A80">
      <w:pPr>
        <w:rPr>
          <w:color w:val="auto"/>
        </w:rPr>
      </w:pPr>
    </w:p>
    <w:p w:rsidR="00045A80" w:rsidRPr="008C72B8" w:rsidRDefault="00045A80" w:rsidP="00045A80">
      <w:pPr>
        <w:rPr>
          <w:color w:val="auto"/>
        </w:rPr>
      </w:pPr>
    </w:p>
    <w:p w:rsidR="00045A80" w:rsidRPr="008C72B8" w:rsidRDefault="00045A80" w:rsidP="00045A80">
      <w:pPr>
        <w:rPr>
          <w:color w:val="auto"/>
        </w:rPr>
      </w:pPr>
    </w:p>
    <w:p w:rsidR="00045A80" w:rsidRPr="008C72B8" w:rsidRDefault="00045A80" w:rsidP="00045A80">
      <w:pPr>
        <w:rPr>
          <w:color w:val="auto"/>
        </w:rPr>
      </w:pPr>
    </w:p>
    <w:p w:rsidR="00045A80" w:rsidRPr="008C72B8" w:rsidRDefault="00045A80" w:rsidP="00045A80">
      <w:pPr>
        <w:rPr>
          <w:color w:val="auto"/>
        </w:rPr>
      </w:pPr>
    </w:p>
    <w:p w:rsidR="00045A80" w:rsidRPr="008C72B8" w:rsidRDefault="00045A80" w:rsidP="00045A80">
      <w:pPr>
        <w:rPr>
          <w:color w:val="auto"/>
        </w:rPr>
      </w:pPr>
    </w:p>
    <w:p w:rsidR="00045A80" w:rsidRPr="008C72B8" w:rsidRDefault="00045A80" w:rsidP="00045A80">
      <w:pPr>
        <w:rPr>
          <w:color w:val="auto"/>
        </w:rPr>
      </w:pPr>
    </w:p>
    <w:p w:rsidR="00045A80" w:rsidRPr="008C72B8" w:rsidRDefault="00045A80" w:rsidP="00045A80">
      <w:pPr>
        <w:rPr>
          <w:color w:val="auto"/>
        </w:rPr>
      </w:pPr>
    </w:p>
    <w:p w:rsidR="00045A80" w:rsidRPr="008C72B8" w:rsidRDefault="00045A80" w:rsidP="00045A80">
      <w:pPr>
        <w:rPr>
          <w:color w:val="auto"/>
        </w:rPr>
      </w:pPr>
    </w:p>
    <w:p w:rsidR="00045A80" w:rsidRPr="008C72B8" w:rsidRDefault="00045A80" w:rsidP="00045A80">
      <w:pPr>
        <w:rPr>
          <w:color w:val="auto"/>
        </w:rPr>
      </w:pPr>
    </w:p>
    <w:p w:rsidR="00045A80" w:rsidRPr="008C72B8" w:rsidRDefault="00045A80" w:rsidP="00045A80">
      <w:pPr>
        <w:rPr>
          <w:color w:val="auto"/>
        </w:rPr>
      </w:pPr>
    </w:p>
    <w:p w:rsidR="00045A80" w:rsidRPr="008C72B8" w:rsidRDefault="00045A80" w:rsidP="00045A80">
      <w:pPr>
        <w:rPr>
          <w:color w:val="auto"/>
        </w:rPr>
      </w:pPr>
    </w:p>
    <w:p w:rsidR="00045A80" w:rsidRPr="008C72B8" w:rsidRDefault="00045A80" w:rsidP="00045A80">
      <w:pPr>
        <w:rPr>
          <w:color w:val="auto"/>
        </w:rPr>
      </w:pPr>
    </w:p>
    <w:p w:rsidR="00045A80" w:rsidRPr="008C72B8" w:rsidRDefault="00045A80" w:rsidP="00045A80">
      <w:pPr>
        <w:rPr>
          <w:color w:val="auto"/>
        </w:rPr>
      </w:pPr>
    </w:p>
    <w:p w:rsidR="00045A80" w:rsidRPr="008C72B8" w:rsidRDefault="00045A80" w:rsidP="00045A80">
      <w:pPr>
        <w:rPr>
          <w:color w:val="auto"/>
        </w:rPr>
      </w:pPr>
    </w:p>
    <w:p w:rsidR="00CF54C0" w:rsidRPr="008C72B8" w:rsidRDefault="00CF54C0">
      <w:pPr>
        <w:rPr>
          <w:color w:val="auto"/>
        </w:rPr>
      </w:pPr>
    </w:p>
    <w:sectPr w:rsidR="00CF54C0" w:rsidRPr="008C72B8" w:rsidSect="00D15BEB">
      <w:headerReference w:type="default" r:id="rId10"/>
      <w:pgSz w:w="11907" w:h="16840" w:code="9"/>
      <w:pgMar w:top="1418"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BAB" w:rsidRDefault="00705BAB">
      <w:r>
        <w:separator/>
      </w:r>
    </w:p>
  </w:endnote>
  <w:endnote w:type="continuationSeparator" w:id="0">
    <w:p w:rsidR="00705BAB" w:rsidRDefault="00705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BAB" w:rsidRDefault="00705BAB">
      <w:r>
        <w:separator/>
      </w:r>
    </w:p>
  </w:footnote>
  <w:footnote w:type="continuationSeparator" w:id="0">
    <w:p w:rsidR="00705BAB" w:rsidRDefault="00705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990338"/>
      <w:docPartObj>
        <w:docPartGallery w:val="Page Numbers (Top of Page)"/>
        <w:docPartUnique/>
      </w:docPartObj>
    </w:sdtPr>
    <w:sdtEndPr>
      <w:rPr>
        <w:noProof/>
      </w:rPr>
    </w:sdtEndPr>
    <w:sdtContent>
      <w:p w:rsidR="002939CC" w:rsidRDefault="0063655E" w:rsidP="002939CC">
        <w:pPr>
          <w:pStyle w:val="Header"/>
          <w:ind w:firstLine="0"/>
          <w:jc w:val="center"/>
        </w:pPr>
        <w:r>
          <w:fldChar w:fldCharType="begin"/>
        </w:r>
        <w:r w:rsidR="00EE308D">
          <w:instrText xml:space="preserve"> PAGE   \* MERGEFORMAT </w:instrText>
        </w:r>
        <w:r>
          <w:fldChar w:fldCharType="separate"/>
        </w:r>
        <w:r w:rsidR="00B04049">
          <w:rPr>
            <w:noProof/>
          </w:rPr>
          <w:t>6</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A80"/>
    <w:rsid w:val="00045A80"/>
    <w:rsid w:val="00053D19"/>
    <w:rsid w:val="000B7432"/>
    <w:rsid w:val="00104721"/>
    <w:rsid w:val="00293FE1"/>
    <w:rsid w:val="002A740C"/>
    <w:rsid w:val="002E5B1D"/>
    <w:rsid w:val="003131AC"/>
    <w:rsid w:val="00355D03"/>
    <w:rsid w:val="0039751C"/>
    <w:rsid w:val="003A0EA2"/>
    <w:rsid w:val="0051517F"/>
    <w:rsid w:val="005E699A"/>
    <w:rsid w:val="005F21DC"/>
    <w:rsid w:val="0063655E"/>
    <w:rsid w:val="006D7EE5"/>
    <w:rsid w:val="00705BAB"/>
    <w:rsid w:val="00765F83"/>
    <w:rsid w:val="00771809"/>
    <w:rsid w:val="007936A8"/>
    <w:rsid w:val="007D1F1F"/>
    <w:rsid w:val="007E6E67"/>
    <w:rsid w:val="00855ACB"/>
    <w:rsid w:val="008A0494"/>
    <w:rsid w:val="008C72B8"/>
    <w:rsid w:val="009742DF"/>
    <w:rsid w:val="009B1252"/>
    <w:rsid w:val="00AC6EF3"/>
    <w:rsid w:val="00B04049"/>
    <w:rsid w:val="00CF54C0"/>
    <w:rsid w:val="00D230BB"/>
    <w:rsid w:val="00DD1091"/>
    <w:rsid w:val="00E17120"/>
    <w:rsid w:val="00EE30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A80"/>
    <w:pPr>
      <w:spacing w:before="0" w:after="0"/>
      <w:ind w:firstLine="720"/>
    </w:pPr>
    <w:rPr>
      <w:rFonts w:ascii="Times New Roman" w:hAnsi="Times New Roman"/>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45A80"/>
    <w:pPr>
      <w:spacing w:before="100" w:beforeAutospacing="1" w:after="100" w:afterAutospacing="1"/>
      <w:ind w:firstLine="0"/>
      <w:jc w:val="left"/>
    </w:pPr>
    <w:rPr>
      <w:rFonts w:eastAsia="Times New Roman" w:cs="Times New Roman"/>
      <w:color w:val="auto"/>
      <w:sz w:val="24"/>
      <w:szCs w:val="24"/>
    </w:rPr>
  </w:style>
  <w:style w:type="paragraph" w:styleId="Header">
    <w:name w:val="header"/>
    <w:basedOn w:val="Normal"/>
    <w:link w:val="HeaderChar"/>
    <w:uiPriority w:val="99"/>
    <w:unhideWhenUsed/>
    <w:rsid w:val="00045A80"/>
    <w:pPr>
      <w:tabs>
        <w:tab w:val="center" w:pos="4680"/>
        <w:tab w:val="right" w:pos="9360"/>
      </w:tabs>
    </w:pPr>
  </w:style>
  <w:style w:type="character" w:customStyle="1" w:styleId="HeaderChar">
    <w:name w:val="Header Char"/>
    <w:basedOn w:val="DefaultParagraphFont"/>
    <w:link w:val="Header"/>
    <w:uiPriority w:val="99"/>
    <w:rsid w:val="00045A80"/>
    <w:rPr>
      <w:rFonts w:ascii="Times New Roman" w:hAnsi="Times New Roman"/>
      <w:color w:val="000000"/>
      <w:sz w:val="28"/>
      <w:szCs w:val="28"/>
    </w:rPr>
  </w:style>
  <w:style w:type="paragraph" w:styleId="BalloonText">
    <w:name w:val="Balloon Text"/>
    <w:basedOn w:val="Normal"/>
    <w:link w:val="BalloonTextChar"/>
    <w:uiPriority w:val="99"/>
    <w:semiHidden/>
    <w:unhideWhenUsed/>
    <w:rsid w:val="008C72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2B8"/>
    <w:rPr>
      <w:rFonts w:ascii="Segoe U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A80"/>
    <w:pPr>
      <w:spacing w:before="0" w:after="0"/>
      <w:ind w:firstLine="720"/>
    </w:pPr>
    <w:rPr>
      <w:rFonts w:ascii="Times New Roman" w:hAnsi="Times New Roman"/>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45A80"/>
    <w:pPr>
      <w:spacing w:before="100" w:beforeAutospacing="1" w:after="100" w:afterAutospacing="1"/>
      <w:ind w:firstLine="0"/>
      <w:jc w:val="left"/>
    </w:pPr>
    <w:rPr>
      <w:rFonts w:eastAsia="Times New Roman" w:cs="Times New Roman"/>
      <w:color w:val="auto"/>
      <w:sz w:val="24"/>
      <w:szCs w:val="24"/>
    </w:rPr>
  </w:style>
  <w:style w:type="paragraph" w:styleId="Header">
    <w:name w:val="header"/>
    <w:basedOn w:val="Normal"/>
    <w:link w:val="HeaderChar"/>
    <w:uiPriority w:val="99"/>
    <w:unhideWhenUsed/>
    <w:rsid w:val="00045A80"/>
    <w:pPr>
      <w:tabs>
        <w:tab w:val="center" w:pos="4680"/>
        <w:tab w:val="right" w:pos="9360"/>
      </w:tabs>
    </w:pPr>
  </w:style>
  <w:style w:type="character" w:customStyle="1" w:styleId="HeaderChar">
    <w:name w:val="Header Char"/>
    <w:basedOn w:val="DefaultParagraphFont"/>
    <w:link w:val="Header"/>
    <w:uiPriority w:val="99"/>
    <w:rsid w:val="00045A80"/>
    <w:rPr>
      <w:rFonts w:ascii="Times New Roman" w:hAnsi="Times New Roman"/>
      <w:color w:val="000000"/>
      <w:sz w:val="28"/>
      <w:szCs w:val="28"/>
    </w:rPr>
  </w:style>
  <w:style w:type="paragraph" w:styleId="BalloonText">
    <w:name w:val="Balloon Text"/>
    <w:basedOn w:val="Normal"/>
    <w:link w:val="BalloonTextChar"/>
    <w:uiPriority w:val="99"/>
    <w:semiHidden/>
    <w:unhideWhenUsed/>
    <w:rsid w:val="008C72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2B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8D6F1F-3264-4217-B94E-59CDF871F7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E50606-89D0-4A01-9E7A-B0C7A4854D81}">
  <ds:schemaRefs>
    <ds:schemaRef ds:uri="http://schemas.microsoft.com/sharepoint/v3/contenttype/forms"/>
  </ds:schemaRefs>
</ds:datastoreItem>
</file>

<file path=customXml/itemProps3.xml><?xml version="1.0" encoding="utf-8"?>
<ds:datastoreItem xmlns:ds="http://schemas.openxmlformats.org/officeDocument/2006/customXml" ds:itemID="{E2981DA9-D4D8-4993-B5C8-C7C5A1CE7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1565</Words>
  <Characters>8925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Personal</cp:lastModifiedBy>
  <cp:revision>3</cp:revision>
  <cp:lastPrinted>2020-07-24T07:06:00Z</cp:lastPrinted>
  <dcterms:created xsi:type="dcterms:W3CDTF">2020-08-22T05:18:00Z</dcterms:created>
  <dcterms:modified xsi:type="dcterms:W3CDTF">2020-08-22T05:18:00Z</dcterms:modified>
</cp:coreProperties>
</file>